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rPr>
          <w:rFonts w:cstheme="minorHAnsi"/>
        </w:rPr>
      </w:pPr>
    </w:p>
    <w:p>
      <w:pPr>
        <w:jc w:val="center"/>
        <w:rPr>
          <w:rFonts w:eastAsia="微软雅黑" w:cstheme="minorHAnsi"/>
          <w:b/>
          <w:color w:val="808080"/>
          <w:sz w:val="52"/>
          <w:szCs w:val="52"/>
        </w:rPr>
      </w:pPr>
    </w:p>
    <w:p>
      <w:pPr>
        <w:rPr>
          <w:rFonts w:cstheme="minorHAnsi"/>
        </w:rPr>
      </w:pPr>
    </w:p>
    <w:p>
      <w:pPr>
        <w:rPr>
          <w:rFonts w:cstheme="minorHAnsi"/>
        </w:rPr>
      </w:pPr>
    </w:p>
    <w:p>
      <w:pPr>
        <w:rPr>
          <w:rFonts w:cstheme="minorHAnsi"/>
        </w:rPr>
      </w:pPr>
    </w:p>
    <w:p>
      <w:pPr>
        <w:jc w:val="center"/>
        <w:rPr>
          <w:rFonts w:hint="eastAsia" w:eastAsia="微软雅黑" w:cstheme="minorHAnsi"/>
          <w:b/>
          <w:color w:val="808080"/>
          <w:sz w:val="52"/>
          <w:szCs w:val="52"/>
          <w:lang w:eastAsia="zh-CN"/>
        </w:rPr>
      </w:pPr>
      <w:r>
        <w:rPr>
          <w:rFonts w:hint="eastAsia" w:eastAsia="微软雅黑" w:cstheme="minorHAnsi"/>
          <w:b/>
          <w:color w:val="808080"/>
          <w:sz w:val="52"/>
          <w:szCs w:val="52"/>
          <w:lang w:val="en-US" w:eastAsia="zh-CN"/>
        </w:rPr>
        <w:t>考勤</w:t>
      </w:r>
    </w:p>
    <w:p>
      <w:pPr>
        <w:jc w:val="center"/>
        <w:rPr>
          <w:rFonts w:eastAsia="微软雅黑" w:cstheme="minorHAnsi"/>
          <w:color w:val="808080"/>
          <w:sz w:val="48"/>
          <w:szCs w:val="48"/>
        </w:rPr>
      </w:pPr>
      <w:r>
        <w:rPr>
          <w:rFonts w:hint="eastAsia" w:eastAsia="微软雅黑" w:cstheme="minorHAnsi"/>
          <w:color w:val="808080"/>
          <w:sz w:val="48"/>
          <w:szCs w:val="48"/>
        </w:rPr>
        <w:t>用户</w:t>
      </w:r>
      <w:r>
        <w:rPr>
          <w:rFonts w:eastAsia="微软雅黑" w:cstheme="minorHAnsi"/>
          <w:color w:val="808080"/>
          <w:sz w:val="48"/>
          <w:szCs w:val="48"/>
        </w:rPr>
        <w:t>手册</w:t>
      </w:r>
    </w:p>
    <w:p>
      <w:pPr>
        <w:jc w:val="center"/>
        <w:rPr>
          <w:rFonts w:cstheme="minorHAnsi"/>
          <w:b/>
        </w:rPr>
      </w:pPr>
    </w:p>
    <w:p>
      <w:pPr>
        <w:jc w:val="center"/>
        <w:rPr>
          <w:rFonts w:cstheme="minorHAnsi"/>
          <w:b/>
        </w:rPr>
      </w:pPr>
    </w:p>
    <w:p>
      <w:pPr>
        <w:jc w:val="center"/>
        <w:rPr>
          <w:rFonts w:cstheme="minorHAnsi"/>
          <w:b/>
        </w:rPr>
      </w:pPr>
    </w:p>
    <w:p>
      <w:pPr>
        <w:jc w:val="center"/>
        <w:rPr>
          <w:rFonts w:cstheme="minorHAnsi"/>
          <w:b/>
        </w:rPr>
      </w:pPr>
    </w:p>
    <w:p>
      <w:pPr>
        <w:jc w:val="center"/>
        <w:rPr>
          <w:rFonts w:cstheme="minorHAnsi"/>
          <w:b/>
        </w:rPr>
      </w:pPr>
    </w:p>
    <w:p>
      <w:pPr>
        <w:jc w:val="center"/>
        <w:rPr>
          <w:rFonts w:cstheme="minorHAnsi"/>
          <w:b/>
        </w:rPr>
      </w:pPr>
    </w:p>
    <w:p>
      <w:pPr>
        <w:jc w:val="center"/>
        <w:rPr>
          <w:rFonts w:cstheme="minorHAnsi"/>
          <w:b/>
        </w:rPr>
      </w:pPr>
    </w:p>
    <w:p>
      <w:pPr>
        <w:jc w:val="center"/>
        <w:rPr>
          <w:rFonts w:cstheme="minorHAnsi"/>
          <w:b/>
        </w:rPr>
      </w:pPr>
    </w:p>
    <w:p>
      <w:pPr>
        <w:jc w:val="center"/>
        <w:rPr>
          <w:rFonts w:cstheme="minorHAnsi"/>
          <w:b/>
        </w:rPr>
      </w:pPr>
    </w:p>
    <w:p>
      <w:pPr>
        <w:jc w:val="center"/>
        <w:rPr>
          <w:rFonts w:cstheme="minorHAnsi"/>
          <w:b/>
        </w:rPr>
      </w:pPr>
    </w:p>
    <w:p>
      <w:pPr>
        <w:jc w:val="center"/>
        <w:rPr>
          <w:rFonts w:cstheme="minorHAnsi"/>
          <w:b/>
        </w:rPr>
      </w:pPr>
    </w:p>
    <w:p>
      <w:pPr>
        <w:jc w:val="center"/>
        <w:rPr>
          <w:rFonts w:cstheme="minorHAnsi"/>
          <w:b/>
        </w:rPr>
      </w:pPr>
    </w:p>
    <w:p>
      <w:pPr>
        <w:jc w:val="center"/>
        <w:rPr>
          <w:rFonts w:eastAsia="微软雅黑" w:cstheme="minorHAnsi"/>
          <w:b/>
          <w:color w:val="808080"/>
          <w:sz w:val="32"/>
          <w:szCs w:val="32"/>
        </w:rPr>
      </w:pPr>
      <w:r>
        <w:rPr>
          <w:rFonts w:eastAsia="微软雅黑" w:cstheme="minorHAnsi"/>
          <w:b/>
          <w:color w:val="808080"/>
          <w:sz w:val="32"/>
          <w:szCs w:val="32"/>
        </w:rPr>
        <w:t>成都致学教育科技有限公司</w:t>
      </w:r>
    </w:p>
    <w:p>
      <w:pPr>
        <w:jc w:val="center"/>
        <w:rPr>
          <w:rFonts w:eastAsia="微软雅黑" w:cstheme="minorHAnsi"/>
          <w:b/>
          <w:color w:val="808080"/>
          <w:sz w:val="32"/>
          <w:szCs w:val="32"/>
        </w:rPr>
      </w:pPr>
      <w:r>
        <w:rPr>
          <w:rFonts w:eastAsia="微软雅黑" w:cstheme="minorHAnsi"/>
          <w:b/>
          <w:color w:val="808080"/>
          <w:sz w:val="32"/>
          <w:szCs w:val="32"/>
        </w:rPr>
        <w:t>2018年6月</w:t>
      </w:r>
    </w:p>
    <w:p>
      <w:pPr>
        <w:pStyle w:val="22"/>
        <w:jc w:val="center"/>
        <w:rPr>
          <w:rFonts w:asciiTheme="minorHAnsi" w:hAnsiTheme="minorHAnsi" w:cstheme="minorHAnsi"/>
          <w:b/>
        </w:rPr>
      </w:pPr>
    </w:p>
    <w:p>
      <w:pPr>
        <w:tabs>
          <w:tab w:val="left" w:pos="1948"/>
        </w:tabs>
        <w:rPr>
          <w:rFonts w:cstheme="minorHAnsi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spacing w:line="72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修订历史记录</w:t>
      </w:r>
    </w:p>
    <w:tbl>
      <w:tblPr>
        <w:tblStyle w:val="19"/>
        <w:tblW w:w="90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1245"/>
        <w:gridCol w:w="3480"/>
        <w:gridCol w:w="1134"/>
        <w:gridCol w:w="1701"/>
        <w:gridCol w:w="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" w:type="dxa"/>
            <w:shd w:val="pct10" w:color="auto" w:fill="auto"/>
            <w:vAlign w:val="center"/>
          </w:tcPr>
          <w:p>
            <w:pPr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序</w:t>
            </w:r>
          </w:p>
        </w:tc>
        <w:tc>
          <w:tcPr>
            <w:tcW w:w="1245" w:type="dxa"/>
            <w:shd w:val="pct10" w:color="auto" w:fill="auto"/>
            <w:vAlign w:val="center"/>
          </w:tcPr>
          <w:p>
            <w:pPr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修改人</w:t>
            </w:r>
          </w:p>
        </w:tc>
        <w:tc>
          <w:tcPr>
            <w:tcW w:w="3480" w:type="dxa"/>
            <w:shd w:val="pct10" w:color="auto" w:fill="auto"/>
            <w:vAlign w:val="center"/>
          </w:tcPr>
          <w:p>
            <w:pPr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修改描述</w:t>
            </w:r>
          </w:p>
        </w:tc>
        <w:tc>
          <w:tcPr>
            <w:tcW w:w="1134" w:type="dxa"/>
            <w:shd w:val="pct10" w:color="auto" w:fill="auto"/>
          </w:tcPr>
          <w:p>
            <w:pPr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批准人</w:t>
            </w:r>
          </w:p>
        </w:tc>
        <w:tc>
          <w:tcPr>
            <w:tcW w:w="1701" w:type="dxa"/>
            <w:shd w:val="pct10" w:color="auto" w:fill="auto"/>
            <w:vAlign w:val="center"/>
          </w:tcPr>
          <w:p>
            <w:pPr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生效日期</w:t>
            </w:r>
          </w:p>
        </w:tc>
        <w:tc>
          <w:tcPr>
            <w:tcW w:w="910" w:type="dxa"/>
            <w:shd w:val="pct10" w:color="auto" w:fill="auto"/>
            <w:vAlign w:val="center"/>
          </w:tcPr>
          <w:p>
            <w:pPr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版本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" w:type="dxa"/>
            <w:vAlign w:val="center"/>
          </w:tcPr>
          <w:p>
            <w:pPr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1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吴琼</w:t>
            </w:r>
          </w:p>
        </w:tc>
        <w:tc>
          <w:tcPr>
            <w:tcW w:w="3480" w:type="dxa"/>
            <w:vAlign w:val="center"/>
          </w:tcPr>
          <w:p>
            <w:pPr>
              <w:rPr>
                <w:rFonts w:cstheme="minorHAnsi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2018/6/13</w:t>
            </w: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V1.0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" w:type="dxa"/>
            <w:vAlign w:val="center"/>
          </w:tcPr>
          <w:p>
            <w:pPr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2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eastAsia="宋体" w:cstheme="minorHAnsi"/>
                <w:szCs w:val="21"/>
                <w:lang w:val="en-US" w:eastAsia="zh-CN"/>
              </w:rPr>
            </w:pPr>
            <w:r>
              <w:rPr>
                <w:rFonts w:hint="eastAsia" w:eastAsia="宋体" w:cstheme="minorHAnsi"/>
                <w:szCs w:val="21"/>
                <w:lang w:val="en-US" w:eastAsia="zh-CN"/>
              </w:rPr>
              <w:t>刘桂贤</w:t>
            </w:r>
          </w:p>
        </w:tc>
        <w:tc>
          <w:tcPr>
            <w:tcW w:w="3480" w:type="dxa"/>
            <w:vAlign w:val="center"/>
          </w:tcPr>
          <w:p>
            <w:pPr>
              <w:jc w:val="center"/>
              <w:rPr>
                <w:rFonts w:hint="eastAsia" w:eastAsia="宋体" w:cstheme="minorHAnsi"/>
                <w:szCs w:val="21"/>
                <w:lang w:val="en-US" w:eastAsia="zh-CN"/>
              </w:rPr>
            </w:pPr>
            <w:r>
              <w:rPr>
                <w:rFonts w:hint="eastAsia" w:eastAsia="宋体" w:cstheme="minorHAnsi"/>
                <w:szCs w:val="21"/>
                <w:lang w:val="en-US" w:eastAsia="zh-CN"/>
              </w:rPr>
              <w:t>考勤二期优化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eastAsia="宋体" w:cstheme="minorHAnsi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eastAsiaTheme="minorEastAsia" w:cstheme="minorHAnsi"/>
                <w:szCs w:val="21"/>
                <w:lang w:eastAsia="zh-CN"/>
              </w:rPr>
            </w:pPr>
            <w:r>
              <w:rPr>
                <w:rFonts w:cstheme="minorHAnsi"/>
                <w:szCs w:val="21"/>
              </w:rPr>
              <w:t>2018/</w:t>
            </w:r>
            <w:r>
              <w:rPr>
                <w:rFonts w:hint="eastAsia" w:cstheme="minorHAnsi"/>
                <w:szCs w:val="21"/>
                <w:lang w:val="en-US" w:eastAsia="zh-CN"/>
              </w:rPr>
              <w:t>8</w:t>
            </w:r>
            <w:r>
              <w:rPr>
                <w:rFonts w:cstheme="minorHAnsi"/>
                <w:szCs w:val="21"/>
              </w:rPr>
              <w:t>/</w:t>
            </w:r>
            <w:r>
              <w:rPr>
                <w:rFonts w:hint="eastAsia" w:cstheme="minorHAnsi"/>
                <w:szCs w:val="21"/>
                <w:lang w:val="en-US" w:eastAsia="zh-CN"/>
              </w:rPr>
              <w:t>6</w:t>
            </w: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eastAsia="宋体" w:cstheme="minorHAnsi"/>
                <w:szCs w:val="21"/>
              </w:rPr>
            </w:pPr>
            <w:r>
              <w:rPr>
                <w:rFonts w:cstheme="minorHAnsi"/>
                <w:szCs w:val="21"/>
              </w:rPr>
              <w:t>V</w:t>
            </w:r>
            <w:r>
              <w:rPr>
                <w:rFonts w:hint="eastAsia" w:cstheme="minorHAnsi"/>
                <w:szCs w:val="21"/>
                <w:lang w:val="en-US" w:eastAsia="zh-CN"/>
              </w:rPr>
              <w:t>2</w:t>
            </w:r>
            <w:r>
              <w:rPr>
                <w:rFonts w:cstheme="minorHAnsi"/>
                <w:szCs w:val="21"/>
              </w:rPr>
              <w:t>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" w:type="dxa"/>
            <w:vAlign w:val="center"/>
          </w:tcPr>
          <w:p>
            <w:pPr>
              <w:jc w:val="center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3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eastAsia="宋体" w:cstheme="minorHAnsi"/>
                <w:szCs w:val="21"/>
              </w:rPr>
            </w:pPr>
          </w:p>
        </w:tc>
        <w:tc>
          <w:tcPr>
            <w:tcW w:w="3480" w:type="dxa"/>
            <w:vAlign w:val="center"/>
          </w:tcPr>
          <w:p>
            <w:pPr>
              <w:rPr>
                <w:rFonts w:eastAsia="宋体" w:cstheme="minorHAnsi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eastAsia="宋体" w:cstheme="minorHAnsi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eastAsia="宋体" w:cstheme="minorHAnsi"/>
                <w:szCs w:val="21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eastAsia="宋体" w:cstheme="minorHAnsi"/>
                <w:szCs w:val="21"/>
              </w:rPr>
            </w:pPr>
          </w:p>
        </w:tc>
      </w:tr>
    </w:tbl>
    <w:p>
      <w:pPr>
        <w:pStyle w:val="12"/>
        <w:tabs>
          <w:tab w:val="right" w:leader="hyphen" w:pos="8306"/>
        </w:tabs>
        <w:ind w:left="0" w:leftChars="0"/>
        <w:rPr>
          <w:rFonts w:cstheme="minorHAnsi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  <w:b/>
          <w:bCs/>
          <w:sz w:val="36"/>
          <w:szCs w:val="44"/>
        </w:rPr>
      </w:pPr>
    </w:p>
    <w:p>
      <w:pPr>
        <w:pStyle w:val="12"/>
        <w:tabs>
          <w:tab w:val="right" w:leader="hyphen" w:pos="8306"/>
        </w:tabs>
        <w:jc w:val="center"/>
        <w:rPr>
          <w:rFonts w:cstheme="minorHAnsi"/>
        </w:rPr>
      </w:pPr>
      <w:r>
        <w:rPr>
          <w:rFonts w:cstheme="minorHAnsi"/>
          <w:b/>
          <w:bCs/>
          <w:sz w:val="36"/>
          <w:szCs w:val="44"/>
        </w:rPr>
        <w:t>目录</w:t>
      </w:r>
    </w:p>
    <w:p>
      <w:pPr>
        <w:pStyle w:val="12"/>
        <w:tabs>
          <w:tab w:val="right" w:leader="hyphen" w:pos="8306"/>
        </w:tabs>
        <w:rPr>
          <w:rFonts w:cstheme="minorHAnsi"/>
        </w:rPr>
      </w:pPr>
    </w:p>
    <w:p>
      <w:pPr>
        <w:pStyle w:val="12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TOC \o "1-4" \h \u </w:instrText>
      </w:r>
      <w:r>
        <w:rPr>
          <w:rFonts w:cstheme="minorHAnsi"/>
        </w:rPr>
        <w:fldChar w:fldCharType="separate"/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_Toc19093 </w:instrText>
      </w:r>
      <w:r>
        <w:rPr>
          <w:rFonts w:cstheme="minorHAnsi"/>
        </w:rPr>
        <w:fldChar w:fldCharType="separate"/>
      </w:r>
      <w:r>
        <w:rPr>
          <w:rFonts w:hint="default" w:asciiTheme="minorHAnsi" w:hAnsiTheme="minorHAnsi" w:cstheme="minorHAnsi"/>
        </w:rPr>
        <w:t xml:space="preserve">一、 </w:t>
      </w:r>
      <w:r>
        <w:rPr>
          <w:rFonts w:hint="eastAsia" w:asciiTheme="minorHAnsi" w:hAnsiTheme="minorHAnsi" w:cstheme="minorHAnsi"/>
        </w:rPr>
        <w:t>周计划列表</w:t>
      </w:r>
      <w:r>
        <w:tab/>
      </w:r>
      <w:r>
        <w:fldChar w:fldCharType="begin"/>
      </w:r>
      <w:r>
        <w:instrText xml:space="preserve"> PAGEREF _Toc19093 </w:instrText>
      </w:r>
      <w:r>
        <w:fldChar w:fldCharType="separate"/>
      </w:r>
      <w:r>
        <w:t>3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_Toc24481 </w:instrText>
      </w:r>
      <w:r>
        <w:rPr>
          <w:rFonts w:cstheme="minorHAnsi"/>
        </w:rPr>
        <w:fldChar w:fldCharType="separate"/>
      </w:r>
      <w:r>
        <w:rPr>
          <w:rFonts w:hint="default" w:asciiTheme="minorHAnsi" w:hAnsiTheme="minorHAnsi" w:cstheme="minorHAnsi"/>
        </w:rPr>
        <w:t xml:space="preserve">二、 </w:t>
      </w:r>
      <w:r>
        <w:rPr>
          <w:rFonts w:hint="eastAsia" w:asciiTheme="minorHAnsi" w:hAnsiTheme="minorHAnsi" w:cstheme="minorHAnsi"/>
        </w:rPr>
        <w:t>新建周计划</w:t>
      </w:r>
      <w:r>
        <w:tab/>
      </w:r>
      <w:r>
        <w:fldChar w:fldCharType="begin"/>
      </w:r>
      <w:r>
        <w:instrText xml:space="preserve"> PAGEREF _Toc24481 </w:instrText>
      </w:r>
      <w:r>
        <w:fldChar w:fldCharType="separate"/>
      </w:r>
      <w:r>
        <w:t>3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_Toc16119 </w:instrText>
      </w:r>
      <w:r>
        <w:rPr>
          <w:rFonts w:cstheme="minorHAnsi"/>
        </w:rPr>
        <w:fldChar w:fldCharType="separate"/>
      </w:r>
      <w:r>
        <w:rPr>
          <w:rFonts w:cstheme="minorHAnsi"/>
        </w:rPr>
        <w:t>1</w:t>
      </w:r>
      <w:r>
        <w:rPr>
          <w:rFonts w:hint="eastAsia" w:cstheme="minorHAnsi"/>
        </w:rPr>
        <w:t>.考勤类型</w:t>
      </w:r>
      <w:r>
        <w:tab/>
      </w:r>
      <w:r>
        <w:fldChar w:fldCharType="begin"/>
      </w:r>
      <w:r>
        <w:instrText xml:space="preserve"> PAGEREF _Toc16119 </w:instrText>
      </w:r>
      <w:r>
        <w:fldChar w:fldCharType="separate"/>
      </w:r>
      <w:r>
        <w:t>3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_Toc31732 </w:instrText>
      </w:r>
      <w:r>
        <w:rPr>
          <w:rFonts w:cstheme="minorHAnsi"/>
        </w:rPr>
        <w:fldChar w:fldCharType="separate"/>
      </w:r>
      <w:r>
        <w:rPr>
          <w:rFonts w:cstheme="minorHAnsi"/>
        </w:rPr>
        <w:t>2.</w:t>
      </w:r>
      <w:r>
        <w:rPr>
          <w:rFonts w:hint="eastAsia" w:cstheme="minorHAnsi"/>
        </w:rPr>
        <w:t>考勤地点</w:t>
      </w:r>
      <w:r>
        <w:tab/>
      </w:r>
      <w:r>
        <w:fldChar w:fldCharType="begin"/>
      </w:r>
      <w:r>
        <w:instrText xml:space="preserve"> PAGEREF _Toc31732 </w:instrText>
      </w:r>
      <w:r>
        <w:fldChar w:fldCharType="separate"/>
      </w:r>
      <w:r>
        <w:t>4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_Toc20654 </w:instrText>
      </w:r>
      <w:r>
        <w:rPr>
          <w:rFonts w:cstheme="minorHAnsi"/>
        </w:rPr>
        <w:fldChar w:fldCharType="separate"/>
      </w:r>
      <w:r>
        <w:t>2.1</w:t>
      </w:r>
      <w:r>
        <w:rPr>
          <w:rFonts w:hint="eastAsia"/>
        </w:rPr>
        <w:t>学校</w:t>
      </w:r>
      <w:r>
        <w:tab/>
      </w:r>
      <w:r>
        <w:fldChar w:fldCharType="begin"/>
      </w:r>
      <w:r>
        <w:instrText xml:space="preserve"> PAGEREF _Toc20654 </w:instrText>
      </w:r>
      <w:r>
        <w:fldChar w:fldCharType="separate"/>
      </w:r>
      <w:r>
        <w:t>4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_Toc6492 </w:instrText>
      </w:r>
      <w:r>
        <w:rPr>
          <w:rFonts w:cstheme="minorHAnsi"/>
        </w:rPr>
        <w:fldChar w:fldCharType="separate"/>
      </w:r>
      <w:r>
        <w:t>2.2</w:t>
      </w:r>
      <w:r>
        <w:rPr>
          <w:rFonts w:hint="eastAsia"/>
        </w:rPr>
        <w:t>宿舍</w:t>
      </w:r>
      <w:r>
        <w:tab/>
      </w:r>
      <w:r>
        <w:fldChar w:fldCharType="begin"/>
      </w:r>
      <w:r>
        <w:instrText xml:space="preserve"> PAGEREF _Toc6492 </w:instrText>
      </w:r>
      <w:r>
        <w:fldChar w:fldCharType="separate"/>
      </w:r>
      <w:r>
        <w:t>4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_Toc27889 </w:instrText>
      </w:r>
      <w:r>
        <w:rPr>
          <w:rFonts w:cstheme="minorHAnsi"/>
        </w:rPr>
        <w:fldChar w:fldCharType="separate"/>
      </w:r>
      <w:r>
        <w:rPr>
          <w:rFonts w:cstheme="minorHAnsi"/>
        </w:rPr>
        <w:t>3.</w:t>
      </w:r>
      <w:r>
        <w:rPr>
          <w:rFonts w:hint="eastAsia" w:cstheme="minorHAnsi"/>
        </w:rPr>
        <w:t>选择范围</w:t>
      </w:r>
      <w:r>
        <w:tab/>
      </w:r>
      <w:r>
        <w:fldChar w:fldCharType="begin"/>
      </w:r>
      <w:r>
        <w:instrText xml:space="preserve"> PAGEREF _Toc27889 </w:instrText>
      </w:r>
      <w:r>
        <w:fldChar w:fldCharType="separate"/>
      </w:r>
      <w:r>
        <w:t>4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_Toc8900 </w:instrText>
      </w:r>
      <w:r>
        <w:rPr>
          <w:rFonts w:cstheme="minorHAnsi"/>
        </w:rPr>
        <w:fldChar w:fldCharType="separate"/>
      </w:r>
      <w:r>
        <w:t>3.1</w:t>
      </w:r>
      <w:r>
        <w:rPr>
          <w:rFonts w:hint="eastAsia"/>
        </w:rPr>
        <w:t>走读生考勤</w:t>
      </w:r>
      <w:r>
        <w:tab/>
      </w:r>
      <w:r>
        <w:fldChar w:fldCharType="begin"/>
      </w:r>
      <w:r>
        <w:instrText xml:space="preserve"> PAGEREF _Toc8900 </w:instrText>
      </w:r>
      <w:r>
        <w:fldChar w:fldCharType="separate"/>
      </w:r>
      <w:r>
        <w:t>4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_Toc839 </w:instrText>
      </w:r>
      <w:r>
        <w:rPr>
          <w:rFonts w:cstheme="minorHAnsi"/>
        </w:rPr>
        <w:fldChar w:fldCharType="separate"/>
      </w:r>
      <w:r>
        <w:t>3.2</w:t>
      </w:r>
      <w:r>
        <w:rPr>
          <w:rFonts w:hint="eastAsia"/>
        </w:rPr>
        <w:t>住校生考勤</w:t>
      </w:r>
      <w:r>
        <w:tab/>
      </w:r>
      <w:r>
        <w:fldChar w:fldCharType="begin"/>
      </w:r>
      <w:r>
        <w:instrText xml:space="preserve"> PAGEREF _Toc839 </w:instrText>
      </w:r>
      <w:r>
        <w:fldChar w:fldCharType="separate"/>
      </w:r>
      <w:r>
        <w:t>4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_Toc24759 </w:instrText>
      </w:r>
      <w:r>
        <w:rPr>
          <w:rFonts w:cstheme="minorHAnsi"/>
        </w:rPr>
        <w:fldChar w:fldCharType="separate"/>
      </w:r>
      <w:r>
        <w:t>3.3</w:t>
      </w:r>
      <w:r>
        <w:rPr>
          <w:rFonts w:hint="eastAsia"/>
        </w:rPr>
        <w:t>教师考勤</w:t>
      </w:r>
      <w:r>
        <w:tab/>
      </w:r>
      <w:r>
        <w:fldChar w:fldCharType="begin"/>
      </w:r>
      <w:r>
        <w:instrText xml:space="preserve"> PAGEREF _Toc24759 </w:instrText>
      </w:r>
      <w:r>
        <w:fldChar w:fldCharType="separate"/>
      </w:r>
      <w:r>
        <w:t>5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7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_Toc31912 </w:instrText>
      </w:r>
      <w:r>
        <w:rPr>
          <w:rFonts w:cstheme="minorHAnsi"/>
        </w:rPr>
        <w:fldChar w:fldCharType="separate"/>
      </w:r>
      <w:r>
        <w:rPr>
          <w:rFonts w:cstheme="minorHAnsi"/>
        </w:rPr>
        <w:t>4.</w:t>
      </w:r>
      <w:r>
        <w:rPr>
          <w:rFonts w:hint="eastAsia" w:cstheme="minorHAnsi"/>
        </w:rPr>
        <w:t>通用项目</w:t>
      </w:r>
      <w:r>
        <w:tab/>
      </w:r>
      <w:r>
        <w:fldChar w:fldCharType="begin"/>
      </w:r>
      <w:r>
        <w:instrText xml:space="preserve"> PAGEREF _Toc31912 </w:instrText>
      </w:r>
      <w:r>
        <w:fldChar w:fldCharType="separate"/>
      </w:r>
      <w:r>
        <w:t>5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_Toc14470 </w:instrText>
      </w:r>
      <w:r>
        <w:rPr>
          <w:rFonts w:cstheme="minorHAnsi"/>
        </w:rPr>
        <w:fldChar w:fldCharType="separate"/>
      </w:r>
      <w:r>
        <w:t>4.1</w:t>
      </w:r>
      <w:r>
        <w:rPr>
          <w:rFonts w:hint="eastAsia"/>
        </w:rPr>
        <w:t>考勤计划名称</w:t>
      </w:r>
      <w:r>
        <w:tab/>
      </w:r>
      <w:r>
        <w:fldChar w:fldCharType="begin"/>
      </w:r>
      <w:r>
        <w:instrText xml:space="preserve"> PAGEREF _Toc14470 </w:instrText>
      </w:r>
      <w:r>
        <w:fldChar w:fldCharType="separate"/>
      </w:r>
      <w:r>
        <w:t>5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_Toc4240 </w:instrText>
      </w:r>
      <w:r>
        <w:rPr>
          <w:rFonts w:cstheme="minorHAnsi"/>
        </w:rPr>
        <w:fldChar w:fldCharType="separate"/>
      </w:r>
      <w:r>
        <w:t>4.2</w:t>
      </w:r>
      <w:r>
        <w:rPr>
          <w:rFonts w:hint="eastAsia"/>
        </w:rPr>
        <w:t>有效期</w:t>
      </w:r>
      <w:r>
        <w:tab/>
      </w:r>
      <w:r>
        <w:fldChar w:fldCharType="begin"/>
      </w:r>
      <w:r>
        <w:instrText xml:space="preserve"> PAGEREF _Toc4240 </w:instrText>
      </w:r>
      <w:r>
        <w:fldChar w:fldCharType="separate"/>
      </w:r>
      <w:r>
        <w:t>5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_Toc30072 </w:instrText>
      </w:r>
      <w:r>
        <w:rPr>
          <w:rFonts w:cstheme="minorHAnsi"/>
        </w:rPr>
        <w:fldChar w:fldCharType="separate"/>
      </w:r>
      <w:r>
        <w:t>4.3</w:t>
      </w:r>
      <w:r>
        <w:rPr>
          <w:rFonts w:hint="eastAsia"/>
        </w:rPr>
        <w:t>考勤时间计划</w:t>
      </w:r>
      <w:r>
        <w:tab/>
      </w:r>
      <w:r>
        <w:fldChar w:fldCharType="begin"/>
      </w:r>
      <w:r>
        <w:instrText xml:space="preserve"> PAGEREF _Toc30072 </w:instrText>
      </w:r>
      <w:r>
        <w:fldChar w:fldCharType="separate"/>
      </w:r>
      <w:r>
        <w:t>6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_Toc4061 </w:instrText>
      </w:r>
      <w:r>
        <w:rPr>
          <w:rFonts w:cstheme="minorHAnsi"/>
        </w:rPr>
        <w:fldChar w:fldCharType="separate"/>
      </w:r>
      <w:r>
        <w:t>4.4</w:t>
      </w:r>
      <w:r>
        <w:rPr>
          <w:rFonts w:hint="eastAsia"/>
        </w:rPr>
        <w:t>时间分配</w:t>
      </w:r>
      <w:r>
        <w:tab/>
      </w:r>
      <w:r>
        <w:fldChar w:fldCharType="begin"/>
      </w:r>
      <w:r>
        <w:instrText xml:space="preserve"> PAGEREF _Toc4061 </w:instrText>
      </w:r>
      <w:r>
        <w:fldChar w:fldCharType="separate"/>
      </w:r>
      <w:r>
        <w:t>7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_Toc29894 </w:instrText>
      </w:r>
      <w:r>
        <w:rPr>
          <w:rFonts w:cstheme="minorHAnsi"/>
        </w:rPr>
        <w:fldChar w:fldCharType="separate"/>
      </w:r>
      <w:r>
        <w:rPr>
          <w:rFonts w:hint="default" w:asciiTheme="minorHAnsi" w:hAnsiTheme="minorHAnsi" w:cstheme="minorHAnsi"/>
        </w:rPr>
        <w:t xml:space="preserve">三、 </w:t>
      </w:r>
      <w:r>
        <w:rPr>
          <w:rFonts w:hint="eastAsia" w:asciiTheme="minorHAnsi" w:hAnsiTheme="minorHAnsi" w:cstheme="minorHAnsi"/>
        </w:rPr>
        <w:t>编辑周计划</w:t>
      </w:r>
      <w:r>
        <w:tab/>
      </w:r>
      <w:r>
        <w:fldChar w:fldCharType="begin"/>
      </w:r>
      <w:r>
        <w:instrText xml:space="preserve"> PAGEREF _Toc29894 </w:instrText>
      </w:r>
      <w:r>
        <w:fldChar w:fldCharType="separate"/>
      </w:r>
      <w:r>
        <w:t>8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_Toc15215 </w:instrText>
      </w:r>
      <w:r>
        <w:rPr>
          <w:rFonts w:cstheme="minorHAnsi"/>
        </w:rPr>
        <w:fldChar w:fldCharType="separate"/>
      </w:r>
      <w:r>
        <w:rPr>
          <w:rFonts w:hint="default" w:asciiTheme="minorHAnsi" w:hAnsiTheme="minorHAnsi" w:cstheme="minorHAnsi"/>
        </w:rPr>
        <w:t xml:space="preserve">四、 </w:t>
      </w:r>
      <w:r>
        <w:rPr>
          <w:rFonts w:hint="eastAsia" w:asciiTheme="minorHAnsi" w:hAnsiTheme="minorHAnsi" w:cstheme="minorHAnsi"/>
        </w:rPr>
        <w:t>删除周计划</w:t>
      </w:r>
      <w:r>
        <w:tab/>
      </w:r>
      <w:r>
        <w:fldChar w:fldCharType="begin"/>
      </w:r>
      <w:r>
        <w:instrText xml:space="preserve"> PAGEREF _Toc15215 </w:instrText>
      </w:r>
      <w:r>
        <w:fldChar w:fldCharType="separate"/>
      </w:r>
      <w:r>
        <w:t>8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_Toc4659 </w:instrText>
      </w:r>
      <w:r>
        <w:rPr>
          <w:rFonts w:cstheme="minorHAnsi"/>
        </w:rPr>
        <w:fldChar w:fldCharType="separate"/>
      </w:r>
      <w:r>
        <w:rPr>
          <w:rFonts w:hint="default" w:asciiTheme="minorHAnsi" w:hAnsiTheme="minorHAnsi" w:cstheme="minorHAnsi"/>
        </w:rPr>
        <w:t xml:space="preserve">五、 </w:t>
      </w:r>
      <w:r>
        <w:rPr>
          <w:rFonts w:hint="eastAsia" w:asciiTheme="minorHAnsi" w:hAnsiTheme="minorHAnsi" w:cstheme="minorHAnsi"/>
          <w:lang w:val="en-US" w:eastAsia="zh-CN"/>
        </w:rPr>
        <w:t>推送设置（手动）</w:t>
      </w:r>
      <w:r>
        <w:tab/>
      </w:r>
      <w:r>
        <w:fldChar w:fldCharType="begin"/>
      </w:r>
      <w:r>
        <w:instrText xml:space="preserve"> PAGEREF _Toc4659 </w:instrText>
      </w:r>
      <w:r>
        <w:fldChar w:fldCharType="separate"/>
      </w:r>
      <w:r>
        <w:t>8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_Toc11485 </w:instrText>
      </w:r>
      <w:r>
        <w:rPr>
          <w:rFonts w:cstheme="minorHAnsi"/>
        </w:rPr>
        <w:fldChar w:fldCharType="separate"/>
      </w:r>
      <w:r>
        <w:rPr>
          <w:rFonts w:hint="default" w:asciiTheme="minorHAnsi" w:hAnsiTheme="minorHAnsi" w:cstheme="minorHAnsi"/>
        </w:rPr>
        <w:t xml:space="preserve">六、 </w:t>
      </w:r>
      <w:r>
        <w:rPr>
          <w:rFonts w:hint="eastAsia" w:asciiTheme="minorHAnsi" w:hAnsiTheme="minorHAnsi" w:cstheme="minorHAnsi"/>
          <w:lang w:val="en-US" w:eastAsia="zh-CN"/>
        </w:rPr>
        <w:t>周计划列表-----统计</w:t>
      </w:r>
      <w:r>
        <w:tab/>
      </w:r>
      <w:r>
        <w:fldChar w:fldCharType="begin"/>
      </w:r>
      <w:r>
        <w:instrText xml:space="preserve"> PAGEREF _Toc11485 </w:instrText>
      </w:r>
      <w:r>
        <w:fldChar w:fldCharType="separate"/>
      </w:r>
      <w:r>
        <w:t>10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_Toc25199 </w:instrText>
      </w:r>
      <w:r>
        <w:rPr>
          <w:rFonts w:cstheme="minorHAnsi"/>
        </w:rPr>
        <w:fldChar w:fldCharType="separate"/>
      </w:r>
      <w:r>
        <w:rPr>
          <w:rFonts w:hint="default" w:asciiTheme="minorHAnsi" w:hAnsiTheme="minorHAnsi" w:cstheme="minorHAnsi"/>
        </w:rPr>
        <w:t xml:space="preserve">七、 </w:t>
      </w:r>
      <w:r>
        <w:rPr>
          <w:rFonts w:hint="eastAsia" w:asciiTheme="minorHAnsi" w:hAnsiTheme="minorHAnsi" w:cstheme="minorHAnsi"/>
          <w:lang w:val="en-US" w:eastAsia="zh-CN"/>
        </w:rPr>
        <w:t>考勤计划----考勤统计</w:t>
      </w:r>
      <w:r>
        <w:tab/>
      </w:r>
      <w:r>
        <w:fldChar w:fldCharType="begin"/>
      </w:r>
      <w:r>
        <w:instrText xml:space="preserve"> PAGEREF _Toc25199 </w:instrText>
      </w:r>
      <w:r>
        <w:fldChar w:fldCharType="separate"/>
      </w:r>
      <w:r>
        <w:t>11</w:t>
      </w:r>
      <w:r>
        <w:fldChar w:fldCharType="end"/>
      </w:r>
      <w:r>
        <w:rPr>
          <w:rFonts w:cstheme="minorHAnsi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HYPERLINK \l _Toc18877 </w:instrText>
      </w:r>
      <w:r>
        <w:rPr>
          <w:rFonts w:cstheme="minorHAnsi"/>
        </w:rPr>
        <w:fldChar w:fldCharType="separate"/>
      </w:r>
      <w:r>
        <w:rPr>
          <w:rFonts w:hint="default" w:asciiTheme="minorHAnsi" w:hAnsiTheme="minorHAnsi" w:cstheme="minorHAnsi"/>
        </w:rPr>
        <w:t xml:space="preserve">八、 </w:t>
      </w:r>
      <w:r>
        <w:rPr>
          <w:rFonts w:hint="eastAsia" w:asciiTheme="minorHAnsi" w:hAnsiTheme="minorHAnsi" w:cstheme="minorHAnsi"/>
          <w:lang w:val="en-US" w:eastAsia="zh-CN"/>
        </w:rPr>
        <w:t>考勤----手机端</w:t>
      </w:r>
      <w:r>
        <w:tab/>
      </w:r>
      <w:r>
        <w:fldChar w:fldCharType="begin"/>
      </w:r>
      <w:r>
        <w:instrText xml:space="preserve"> PAGEREF _Toc18877 </w:instrText>
      </w:r>
      <w:r>
        <w:fldChar w:fldCharType="separate"/>
      </w:r>
      <w:r>
        <w:t>12</w:t>
      </w:r>
      <w:r>
        <w:fldChar w:fldCharType="end"/>
      </w:r>
      <w:r>
        <w:rPr>
          <w:rFonts w:cstheme="minorHAnsi"/>
        </w:rPr>
        <w:fldChar w:fldCharType="end"/>
      </w:r>
    </w:p>
    <w:p>
      <w:pPr>
        <w:rPr>
          <w:rFonts w:cstheme="minorHAnsi"/>
        </w:rPr>
      </w:pPr>
      <w:r>
        <w:rPr>
          <w:rFonts w:cstheme="minorHAnsi"/>
        </w:rPr>
        <w:fldChar w:fldCharType="end"/>
      </w:r>
    </w:p>
    <w:p>
      <w:pPr>
        <w:rPr>
          <w:rFonts w:cstheme="minorHAnsi"/>
        </w:rPr>
      </w:pPr>
    </w:p>
    <w:p>
      <w:pPr>
        <w:rPr>
          <w:rFonts w:cstheme="minorHAnsi"/>
        </w:rPr>
      </w:pPr>
    </w:p>
    <w:p>
      <w:pPr>
        <w:rPr>
          <w:rFonts w:cstheme="minorHAnsi"/>
        </w:rPr>
      </w:pPr>
    </w:p>
    <w:p>
      <w:pPr>
        <w:rPr>
          <w:rFonts w:cstheme="minorHAnsi"/>
        </w:rPr>
      </w:pPr>
    </w:p>
    <w:p>
      <w:pPr>
        <w:rPr>
          <w:rFonts w:cstheme="minorHAnsi"/>
        </w:rPr>
      </w:pPr>
    </w:p>
    <w:p>
      <w:pPr>
        <w:rPr>
          <w:rFonts w:cstheme="minorHAnsi"/>
        </w:rPr>
      </w:pPr>
    </w:p>
    <w:p>
      <w:pPr>
        <w:rPr>
          <w:rFonts w:cstheme="minorHAnsi"/>
        </w:rPr>
      </w:pPr>
    </w:p>
    <w:p>
      <w:pPr>
        <w:rPr>
          <w:rFonts w:cstheme="minorHAnsi"/>
        </w:rPr>
      </w:pPr>
    </w:p>
    <w:p>
      <w:pPr>
        <w:rPr>
          <w:rFonts w:cstheme="minorHAnsi"/>
        </w:rPr>
      </w:pPr>
    </w:p>
    <w:p>
      <w:pPr>
        <w:rPr>
          <w:rFonts w:cstheme="minorHAnsi"/>
        </w:rPr>
      </w:pPr>
    </w:p>
    <w:p>
      <w:pPr>
        <w:spacing w:line="360" w:lineRule="auto"/>
        <w:rPr>
          <w:rFonts w:cstheme="minorHAnsi"/>
        </w:rPr>
      </w:pPr>
    </w:p>
    <w:p>
      <w:pPr>
        <w:spacing w:line="360" w:lineRule="auto"/>
        <w:rPr>
          <w:rFonts w:cstheme="minorHAnsi"/>
        </w:rPr>
      </w:pPr>
    </w:p>
    <w:p>
      <w:pPr>
        <w:spacing w:line="360" w:lineRule="auto"/>
        <w:rPr>
          <w:rFonts w:cstheme="minorHAnsi"/>
        </w:rPr>
      </w:pPr>
    </w:p>
    <w:p>
      <w:pPr>
        <w:spacing w:line="360" w:lineRule="auto"/>
        <w:rPr>
          <w:rFonts w:cstheme="minorHAnsi"/>
        </w:rPr>
      </w:pPr>
      <w:bookmarkStart w:id="21" w:name="_GoBack"/>
      <w:bookmarkEnd w:id="21"/>
    </w:p>
    <w:p>
      <w:pPr>
        <w:pStyle w:val="3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bookmarkStart w:id="0" w:name="_Toc19093"/>
      <w:r>
        <w:rPr>
          <w:rFonts w:hint="eastAsia" w:asciiTheme="minorHAnsi" w:hAnsiTheme="minorHAnsi" w:cstheme="minorHAnsi"/>
        </w:rPr>
        <w:t>周计划列表</w:t>
      </w:r>
      <w:bookmarkEnd w:id="0"/>
    </w:p>
    <w:p>
      <w:pPr>
        <w:spacing w:line="360" w:lineRule="auto"/>
      </w:pPr>
      <w:r>
        <w:rPr>
          <w:rFonts w:hint="eastAsia"/>
        </w:rPr>
        <w:t>周计划列表，按照考勤名称、考勤类型、有效期、地点、操作，显示每个计划的信息。</w:t>
      </w:r>
    </w:p>
    <w:p>
      <w:pPr>
        <w:spacing w:line="360" w:lineRule="auto"/>
      </w:pPr>
      <w:r>
        <w:drawing>
          <wp:inline distT="0" distB="0" distL="0" distR="0">
            <wp:extent cx="5274310" cy="3691255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bookmarkStart w:id="1" w:name="_Toc24481"/>
      <w:r>
        <w:rPr>
          <w:rFonts w:hint="eastAsia" w:asciiTheme="minorHAnsi" w:hAnsiTheme="minorHAnsi" w:cstheme="minorHAnsi"/>
        </w:rPr>
        <w:t>新建周计划</w:t>
      </w:r>
      <w:bookmarkEnd w:id="1"/>
    </w:p>
    <w:p>
      <w:r>
        <w:rPr>
          <w:rFonts w:hint="eastAsia"/>
        </w:rPr>
        <w:t>点击添加新计划，进入新建页面。</w:t>
      </w:r>
    </w:p>
    <w:p>
      <w:pPr>
        <w:pStyle w:val="4"/>
        <w:spacing w:line="360" w:lineRule="auto"/>
        <w:rPr>
          <w:rFonts w:cstheme="minorHAnsi"/>
        </w:rPr>
      </w:pPr>
      <w:bookmarkStart w:id="2" w:name="_Toc16119"/>
      <w:r>
        <w:rPr>
          <w:rFonts w:cstheme="minorHAnsi"/>
        </w:rPr>
        <w:t>1</w:t>
      </w:r>
      <w:r>
        <w:rPr>
          <w:rFonts w:hint="eastAsia" w:cstheme="minorHAnsi"/>
        </w:rPr>
        <w:t>.考勤类型</w:t>
      </w:r>
      <w:bookmarkEnd w:id="2"/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考勤类型可根据参与考勤的人员不同，分为走读生考勤、住校生考勤和教师考勤。</w:t>
      </w:r>
    </w:p>
    <w:p>
      <w:pPr>
        <w:pStyle w:val="4"/>
        <w:spacing w:line="360" w:lineRule="auto"/>
        <w:rPr>
          <w:rFonts w:cstheme="minorHAnsi"/>
        </w:rPr>
      </w:pPr>
      <w:bookmarkStart w:id="3" w:name="_Toc31732"/>
      <w:r>
        <w:rPr>
          <w:rFonts w:cstheme="minorHAnsi"/>
        </w:rPr>
        <w:t>2.</w:t>
      </w:r>
      <w:r>
        <w:rPr>
          <w:rFonts w:hint="eastAsia" w:cstheme="minorHAnsi"/>
        </w:rPr>
        <w:t>考勤地点</w:t>
      </w:r>
      <w:bookmarkEnd w:id="3"/>
    </w:p>
    <w:p>
      <w:pPr>
        <w:pStyle w:val="5"/>
      </w:pPr>
      <w:bookmarkStart w:id="4" w:name="_Toc20654"/>
      <w:r>
        <w:t>2.1</w:t>
      </w:r>
      <w:r>
        <w:rPr>
          <w:rFonts w:hint="eastAsia"/>
        </w:rPr>
        <w:t>学校</w:t>
      </w:r>
      <w:bookmarkEnd w:id="4"/>
    </w:p>
    <w:p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hint="eastAsia" w:cstheme="minorHAnsi"/>
        </w:rPr>
        <w:t>走</w:t>
      </w:r>
      <w:r>
        <w:rPr>
          <w:rFonts w:hint="eastAsia" w:ascii="宋体" w:hAnsi="宋体"/>
          <w:szCs w:val="21"/>
        </w:rPr>
        <w:t>读生、住校生和教师的考勤地点都有学校。</w:t>
      </w:r>
    </w:p>
    <w:p>
      <w:pPr>
        <w:pStyle w:val="5"/>
      </w:pPr>
      <w:bookmarkStart w:id="5" w:name="_Toc6492"/>
      <w:r>
        <w:t>2.2</w:t>
      </w:r>
      <w:r>
        <w:rPr>
          <w:rFonts w:hint="eastAsia"/>
        </w:rPr>
        <w:t>宿舍</w:t>
      </w:r>
      <w:bookmarkEnd w:id="5"/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只有住校生的考勤地点有宿舍。</w:t>
      </w:r>
    </w:p>
    <w:p>
      <w:pPr>
        <w:pStyle w:val="4"/>
        <w:spacing w:line="360" w:lineRule="auto"/>
        <w:rPr>
          <w:rFonts w:cstheme="minorHAnsi"/>
        </w:rPr>
      </w:pPr>
      <w:bookmarkStart w:id="6" w:name="_Toc27889"/>
      <w:r>
        <w:rPr>
          <w:rFonts w:cstheme="minorHAnsi"/>
        </w:rPr>
        <w:t>3.</w:t>
      </w:r>
      <w:r>
        <w:rPr>
          <w:rFonts w:hint="eastAsia" w:cstheme="minorHAnsi"/>
        </w:rPr>
        <w:t>选择范围</w:t>
      </w:r>
      <w:bookmarkEnd w:id="6"/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cstheme="minorHAnsi"/>
        </w:rPr>
        <w:t>走</w:t>
      </w:r>
      <w:r>
        <w:rPr>
          <w:rFonts w:hint="eastAsia" w:ascii="宋体" w:hAnsi="宋体"/>
          <w:szCs w:val="21"/>
        </w:rPr>
        <w:t>读生、住校生和教师考勤计划，参与考勤的人员不同，选择范围不同。</w:t>
      </w:r>
    </w:p>
    <w:p>
      <w:pPr>
        <w:pStyle w:val="5"/>
      </w:pPr>
      <w:bookmarkStart w:id="7" w:name="_Toc8900"/>
      <w:r>
        <w:t>3.1</w:t>
      </w:r>
      <w:r>
        <w:rPr>
          <w:rFonts w:hint="eastAsia"/>
        </w:rPr>
        <w:t>走读生考勤</w:t>
      </w:r>
      <w:bookmarkEnd w:id="7"/>
    </w:p>
    <w:p>
      <w:pPr>
        <w:spacing w:line="360" w:lineRule="auto"/>
        <w:rPr>
          <w:rFonts w:cstheme="minorHAnsi"/>
          <w:szCs w:val="21"/>
        </w:rPr>
      </w:pPr>
      <w:r>
        <w:rPr>
          <w:rFonts w:hint="eastAsia" w:cstheme="minorHAnsi"/>
          <w:szCs w:val="21"/>
        </w:rPr>
        <w:t>按照学段、年级、班级的从属关系，可逐层展开，勾选的最小范围为班级。参与考勤的为班级中的所有走读生。一个班级只能参与到一个走读生考勤计划中，故参与过某考勤计划的班级，在新建考勤计划时，复选框为灰显不可勾选状态。</w:t>
      </w:r>
    </w:p>
    <w:p>
      <w:pPr>
        <w:spacing w:line="360" w:lineRule="auto"/>
        <w:jc w:val="center"/>
        <w:rPr>
          <w:rFonts w:cstheme="minorHAnsi"/>
          <w:szCs w:val="21"/>
        </w:rPr>
      </w:pPr>
      <w:r>
        <w:drawing>
          <wp:inline distT="0" distB="0" distL="0" distR="0">
            <wp:extent cx="3406140" cy="2192655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29379" cy="2207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</w:pPr>
      <w:bookmarkStart w:id="8" w:name="_Toc839"/>
      <w:r>
        <w:t>3.2</w:t>
      </w:r>
      <w:r>
        <w:rPr>
          <w:rFonts w:hint="eastAsia"/>
        </w:rPr>
        <w:t>住校生考勤</w:t>
      </w:r>
      <w:bookmarkEnd w:id="8"/>
    </w:p>
    <w:p>
      <w:pPr>
        <w:spacing w:line="360" w:lineRule="auto"/>
        <w:rPr>
          <w:rFonts w:cstheme="minorHAnsi"/>
        </w:rPr>
      </w:pPr>
      <w:r>
        <w:rPr>
          <w:rFonts w:hint="eastAsia" w:cstheme="minorHAnsi"/>
        </w:rPr>
        <w:t>全校的住校生考勤统一管理，各个不同班级的学生，在标记为住宿生后，不会再参与班级考勤，即一名学生的属性，在走读生和住校生中二选一。住校生的考勤范围为学校的全体住校生。</w:t>
      </w:r>
    </w:p>
    <w:p>
      <w:pPr>
        <w:spacing w:line="360" w:lineRule="auto"/>
        <w:rPr>
          <w:rFonts w:cstheme="minorHAnsi"/>
        </w:rPr>
      </w:pPr>
      <w:r>
        <w:rPr>
          <w:rFonts w:hint="eastAsia" w:cstheme="minorHAnsi"/>
        </w:rPr>
        <w:t>由于考勤原则为，一个人在一个考勤地点只能参与一个考勤计划，住校生是统一管理，所以一个学校的住校生考勤计划，学校考勤、宿舍考勤都只能各存在一个。</w:t>
      </w:r>
    </w:p>
    <w:p>
      <w:pPr>
        <w:pStyle w:val="5"/>
      </w:pPr>
      <w:bookmarkStart w:id="9" w:name="_Toc24759"/>
      <w:r>
        <w:t>3.3</w:t>
      </w:r>
      <w:r>
        <w:rPr>
          <w:rFonts w:hint="eastAsia"/>
        </w:rPr>
        <w:t>教师考勤</w:t>
      </w:r>
      <w:bookmarkEnd w:id="9"/>
    </w:p>
    <w:p>
      <w:pPr>
        <w:spacing w:line="360" w:lineRule="auto"/>
        <w:rPr>
          <w:rFonts w:cstheme="minorHAnsi"/>
          <w:szCs w:val="21"/>
        </w:rPr>
      </w:pPr>
      <w:r>
        <w:rPr>
          <w:rFonts w:hint="eastAsia"/>
          <w:szCs w:val="21"/>
        </w:rPr>
        <w:t>教师的选择范围，为学校的全体教师。根据考勤原则，参</w:t>
      </w:r>
      <w:r>
        <w:rPr>
          <w:rFonts w:hint="eastAsia" w:cstheme="minorHAnsi"/>
          <w:szCs w:val="21"/>
        </w:rPr>
        <w:t>与过某考勤计划的教师，在新建考勤计划时，复选框灰显不可再选。</w:t>
      </w:r>
    </w:p>
    <w:p>
      <w:pPr>
        <w:spacing w:line="360" w:lineRule="auto"/>
        <w:jc w:val="center"/>
        <w:rPr>
          <w:rFonts w:cstheme="minorHAnsi"/>
          <w:szCs w:val="21"/>
        </w:rPr>
      </w:pPr>
      <w:r>
        <w:drawing>
          <wp:inline distT="0" distB="0" distL="0" distR="0">
            <wp:extent cx="3093720" cy="347472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07276" cy="3489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line="360" w:lineRule="auto"/>
        <w:rPr>
          <w:rFonts w:cstheme="minorHAnsi"/>
        </w:rPr>
      </w:pPr>
      <w:bookmarkStart w:id="10" w:name="_Toc31912"/>
      <w:r>
        <w:rPr>
          <w:rFonts w:cstheme="minorHAnsi"/>
        </w:rPr>
        <w:t>4.</w:t>
      </w:r>
      <w:r>
        <w:rPr>
          <w:rFonts w:hint="eastAsia" w:cstheme="minorHAnsi"/>
        </w:rPr>
        <w:t>通用项目</w:t>
      </w:r>
      <w:bookmarkEnd w:id="10"/>
    </w:p>
    <w:p>
      <w:pPr>
        <w:spacing w:line="360" w:lineRule="auto"/>
        <w:rPr>
          <w:szCs w:val="21"/>
        </w:rPr>
      </w:pPr>
      <w:r>
        <w:rPr>
          <w:rFonts w:hint="eastAsia"/>
          <w:szCs w:val="21"/>
        </w:rPr>
        <w:t>其他不同考勤类型通用的计划项目点：</w:t>
      </w:r>
    </w:p>
    <w:p>
      <w:pPr>
        <w:pStyle w:val="5"/>
      </w:pPr>
      <w:bookmarkStart w:id="11" w:name="_Toc14470"/>
      <w:r>
        <w:t>4.1</w:t>
      </w:r>
      <w:r>
        <w:rPr>
          <w:rFonts w:hint="eastAsia"/>
        </w:rPr>
        <w:t>考勤计划名称</w:t>
      </w:r>
      <w:bookmarkEnd w:id="11"/>
    </w:p>
    <w:p>
      <w:pPr>
        <w:spacing w:line="360" w:lineRule="auto"/>
        <w:rPr>
          <w:szCs w:val="21"/>
        </w:rPr>
      </w:pPr>
      <w:r>
        <w:rPr>
          <w:rFonts w:hint="eastAsia"/>
          <w:szCs w:val="21"/>
        </w:rPr>
        <w:t>限制最多可输入20字。</w:t>
      </w:r>
    </w:p>
    <w:p>
      <w:pPr>
        <w:pStyle w:val="5"/>
      </w:pPr>
      <w:bookmarkStart w:id="12" w:name="_Toc4240"/>
      <w:r>
        <w:t>4.2</w:t>
      </w:r>
      <w:r>
        <w:rPr>
          <w:rFonts w:hint="eastAsia"/>
        </w:rPr>
        <w:t>有效期</w:t>
      </w:r>
      <w:bookmarkEnd w:id="12"/>
    </w:p>
    <w:p>
      <w:pPr>
        <w:spacing w:line="360" w:lineRule="auto"/>
        <w:rPr>
          <w:szCs w:val="21"/>
        </w:rPr>
      </w:pPr>
      <w:r>
        <w:rPr>
          <w:rFonts w:hint="eastAsia"/>
          <w:szCs w:val="21"/>
        </w:rPr>
        <w:t>填写该计划开始和结束的日期，年度重复默认选中。年度重复，即第二年同日期默认仍执行此考勤计划</w:t>
      </w:r>
      <w:r>
        <w:rPr>
          <w:rFonts w:hint="eastAsia"/>
          <w:sz w:val="24"/>
        </w:rPr>
        <w:t>。</w:t>
      </w:r>
    </w:p>
    <w:p>
      <w:pPr>
        <w:pStyle w:val="5"/>
      </w:pPr>
      <w:bookmarkStart w:id="13" w:name="_Toc30072"/>
      <w:r>
        <w:t>4.3</w:t>
      </w:r>
      <w:r>
        <w:rPr>
          <w:rFonts w:hint="eastAsia"/>
        </w:rPr>
        <w:t>考勤时间计划</w:t>
      </w:r>
      <w:bookmarkEnd w:id="13"/>
    </w:p>
    <w:p>
      <w:pPr>
        <w:spacing w:line="360" w:lineRule="auto"/>
        <w:rPr>
          <w:szCs w:val="21"/>
        </w:rPr>
      </w:pPr>
      <w:r>
        <w:rPr>
          <w:rFonts w:hint="eastAsia"/>
          <w:szCs w:val="21"/>
        </w:rPr>
        <w:t>考勤时间计划样式按照考勤地点，分为学校考勤样式和宿舍考勤样式。</w:t>
      </w:r>
    </w:p>
    <w:p>
      <w:pPr>
        <w:pStyle w:val="6"/>
      </w:pPr>
      <w:r>
        <w:rPr>
          <w:rFonts w:hint="eastAsia"/>
        </w:rPr>
        <w:t>4.</w:t>
      </w:r>
      <w:r>
        <w:t>3.</w:t>
      </w:r>
      <w:r>
        <w:rPr>
          <w:rFonts w:hint="eastAsia"/>
        </w:rPr>
        <w:t>1学校</w:t>
      </w:r>
    </w:p>
    <w:p>
      <w:pPr>
        <w:spacing w:line="360" w:lineRule="auto"/>
        <w:rPr>
          <w:szCs w:val="21"/>
        </w:rPr>
      </w:pPr>
      <w:r>
        <w:rPr>
          <w:rFonts w:hint="eastAsia"/>
          <w:szCs w:val="21"/>
        </w:rPr>
        <w:t>考勤地点为学校的考勤计划，考勤目标是人员在校期间出勤情况，由绿色标记在校时间段。</w:t>
      </w:r>
    </w:p>
    <w:p>
      <w:pPr>
        <w:spacing w:line="360" w:lineRule="auto"/>
        <w:rPr>
          <w:szCs w:val="21"/>
        </w:rPr>
      </w:pPr>
      <w:r>
        <w:drawing>
          <wp:inline distT="0" distB="0" distL="0" distR="0">
            <wp:extent cx="5274310" cy="364617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3"/>
        <w:numPr>
          <w:ilvl w:val="0"/>
          <w:numId w:val="2"/>
        </w:numPr>
        <w:spacing w:line="360" w:lineRule="auto"/>
        <w:ind w:firstLineChars="0"/>
        <w:rPr>
          <w:szCs w:val="21"/>
        </w:rPr>
      </w:pPr>
      <w:r>
        <w:rPr>
          <w:rFonts w:hint="eastAsia"/>
          <w:szCs w:val="21"/>
        </w:rPr>
        <w:t xml:space="preserve">时间计划A是针对一天中，考勤的具体时间安排。由于学校在不同星期，可能有不同的考勤标准，为此现阶段最多可存在7个时间计划A~G，最少保留1个。 </w:t>
      </w:r>
    </w:p>
    <w:p>
      <w:pPr>
        <w:pStyle w:val="23"/>
        <w:numPr>
          <w:ilvl w:val="0"/>
          <w:numId w:val="2"/>
        </w:numPr>
        <w:spacing w:line="360" w:lineRule="auto"/>
        <w:ind w:firstLineChars="0"/>
        <w:rPr>
          <w:szCs w:val="21"/>
        </w:rPr>
      </w:pPr>
      <w:r>
        <w:rPr>
          <w:rFonts w:hint="eastAsia"/>
          <w:szCs w:val="21"/>
        </w:rPr>
        <w:t>时间轴上每段绿色标记，表示此段时间需要为在校状态。A点为进校门考勤时间点，B点为出校门。显示的自定义名称最后表现在考勤统计列表中，此处自定义最多填写8个字。每个点的时间可通过拖动改变，或者手动输入时间。</w:t>
      </w:r>
    </w:p>
    <w:p>
      <w:pPr>
        <w:pStyle w:val="23"/>
        <w:numPr>
          <w:ilvl w:val="0"/>
          <w:numId w:val="2"/>
        </w:numPr>
        <w:spacing w:line="360" w:lineRule="auto"/>
        <w:ind w:firstLineChars="0"/>
        <w:rPr>
          <w:szCs w:val="21"/>
        </w:rPr>
      </w:pPr>
      <w:r>
        <w:rPr>
          <w:rFonts w:hint="eastAsia"/>
          <w:szCs w:val="21"/>
        </w:rPr>
        <w:t>每天具体的考勤时间安排，可能分为上午下午晚课等不同时间段，现阶段最多可存在5个时间段，最少保留1个。</w:t>
      </w:r>
    </w:p>
    <w:p>
      <w:pPr>
        <w:pStyle w:val="6"/>
      </w:pPr>
      <w:r>
        <w:rPr>
          <w:rFonts w:hint="eastAsia"/>
        </w:rPr>
        <w:t>4.</w:t>
      </w:r>
      <w:r>
        <w:t>3.</w:t>
      </w:r>
      <w:r>
        <w:rPr>
          <w:rFonts w:hint="eastAsia"/>
        </w:rPr>
        <w:t>2宿舍</w:t>
      </w:r>
    </w:p>
    <w:p>
      <w:pPr>
        <w:spacing w:line="360" w:lineRule="auto"/>
        <w:rPr>
          <w:szCs w:val="21"/>
        </w:rPr>
      </w:pPr>
      <w:r>
        <w:rPr>
          <w:rFonts w:hint="eastAsia"/>
          <w:szCs w:val="21"/>
        </w:rPr>
        <w:t>考勤地点为宿舍的考勤计划，考勤目标是住校生归寝状态，由红色标记在宿舍时间段。</w:t>
      </w:r>
    </w:p>
    <w:p>
      <w:pPr>
        <w:spacing w:line="360" w:lineRule="auto"/>
        <w:rPr>
          <w:szCs w:val="21"/>
        </w:rPr>
      </w:pPr>
      <w:r>
        <w:drawing>
          <wp:inline distT="0" distB="0" distL="0" distR="0">
            <wp:extent cx="5274310" cy="3216275"/>
            <wp:effectExtent l="0" t="0" r="254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3"/>
        <w:numPr>
          <w:ilvl w:val="0"/>
          <w:numId w:val="3"/>
        </w:numPr>
        <w:spacing w:line="360" w:lineRule="auto"/>
        <w:ind w:firstLineChars="0"/>
        <w:rPr>
          <w:szCs w:val="21"/>
        </w:rPr>
      </w:pPr>
      <w:r>
        <w:rPr>
          <w:rFonts w:hint="eastAsia"/>
          <w:szCs w:val="21"/>
        </w:rPr>
        <w:t>可存在最多7个时间计划A~G，最少保留1个。</w:t>
      </w:r>
    </w:p>
    <w:p>
      <w:pPr>
        <w:pStyle w:val="23"/>
        <w:numPr>
          <w:ilvl w:val="0"/>
          <w:numId w:val="3"/>
        </w:numPr>
        <w:spacing w:line="360" w:lineRule="auto"/>
        <w:ind w:firstLineChars="0"/>
        <w:rPr>
          <w:szCs w:val="21"/>
        </w:rPr>
      </w:pPr>
      <w:r>
        <w:rPr>
          <w:rFonts w:hint="eastAsia"/>
          <w:szCs w:val="21"/>
        </w:rPr>
        <w:t>时间轴上红色标记，表示此段时间需要为在宿舍状态。A点为出宿舍考勤时间点，B点为进宿舍。显示的自定义名称最后表现在考勤统计列表中，此处自定义最多填写8个字。AB时间可通过拖动改变，或者手动输入时间。</w:t>
      </w:r>
    </w:p>
    <w:p>
      <w:pPr>
        <w:pStyle w:val="23"/>
        <w:numPr>
          <w:ilvl w:val="0"/>
          <w:numId w:val="3"/>
        </w:numPr>
        <w:spacing w:line="360" w:lineRule="auto"/>
        <w:ind w:firstLineChars="0"/>
        <w:rPr>
          <w:szCs w:val="21"/>
        </w:rPr>
      </w:pPr>
      <w:r>
        <w:rPr>
          <w:rFonts w:hint="eastAsia"/>
          <w:szCs w:val="21"/>
        </w:rPr>
        <w:t>住校生宿舍考勤，只需1个时间段即可满足考勤需求。</w:t>
      </w:r>
    </w:p>
    <w:p>
      <w:pPr>
        <w:pStyle w:val="5"/>
      </w:pPr>
      <w:bookmarkStart w:id="14" w:name="_Toc4061"/>
      <w:r>
        <w:t>4.4</w:t>
      </w:r>
      <w:r>
        <w:rPr>
          <w:rFonts w:hint="eastAsia"/>
        </w:rPr>
        <w:t>时间分配</w:t>
      </w:r>
      <w:bookmarkEnd w:id="14"/>
    </w:p>
    <w:p>
      <w:pPr>
        <w:spacing w:line="360" w:lineRule="auto"/>
        <w:rPr>
          <w:szCs w:val="21"/>
        </w:rPr>
      </w:pPr>
      <w:r>
        <w:rPr>
          <w:rFonts w:hint="eastAsia"/>
          <w:szCs w:val="21"/>
        </w:rPr>
        <w:t>将时间计划A~G具体分配到一周中的某天。当天按照所分配的时间计划执行考勤。</w:t>
      </w:r>
    </w:p>
    <w:p>
      <w:pPr>
        <w:spacing w:line="360" w:lineRule="auto"/>
      </w:pPr>
      <w:r>
        <w:drawing>
          <wp:inline distT="0" distB="0" distL="0" distR="0">
            <wp:extent cx="5274310" cy="215900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bookmarkStart w:id="15" w:name="_Toc29894"/>
      <w:r>
        <w:rPr>
          <w:rFonts w:hint="eastAsia" w:asciiTheme="minorHAnsi" w:hAnsiTheme="minorHAnsi" w:cstheme="minorHAnsi"/>
        </w:rPr>
        <w:t>编辑周计划</w:t>
      </w:r>
      <w:bookmarkEnd w:id="15"/>
    </w:p>
    <w:p>
      <w:pPr>
        <w:spacing w:line="360" w:lineRule="auto"/>
        <w:rPr>
          <w:rFonts w:cstheme="minorHAnsi"/>
        </w:rPr>
      </w:pPr>
      <w:r>
        <w:rPr>
          <w:rFonts w:hint="eastAsia" w:cstheme="minorHAnsi"/>
        </w:rPr>
        <w:t>点击编辑按钮，可进入编辑页面，对计划中的内容可修改。走读生和教师的选择范围，选择过的内容显示为勾选状态，可取消勾选。</w:t>
      </w:r>
    </w:p>
    <w:p>
      <w:pPr>
        <w:pStyle w:val="3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bookmarkStart w:id="16" w:name="_Toc15215"/>
      <w:r>
        <w:rPr>
          <w:rFonts w:hint="eastAsia" w:asciiTheme="minorHAnsi" w:hAnsiTheme="minorHAnsi" w:cstheme="minorHAnsi"/>
        </w:rPr>
        <w:t>删除周计划</w:t>
      </w:r>
      <w:bookmarkEnd w:id="16"/>
    </w:p>
    <w:p>
      <w:pPr>
        <w:spacing w:line="360" w:lineRule="auto"/>
        <w:rPr>
          <w:rFonts w:hint="eastAsia" w:cstheme="minorHAnsi"/>
        </w:rPr>
      </w:pPr>
      <w:r>
        <w:rPr>
          <w:rFonts w:hint="eastAsia" w:cstheme="minorHAnsi"/>
        </w:rPr>
        <w:t>点击删除按钮，可删除周计划，计划中所选的范围，可以释放，再新建计划时，释放的参与考勤的对象可重新选择。</w:t>
      </w:r>
    </w:p>
    <w:p>
      <w:pPr>
        <w:pStyle w:val="3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bookmarkStart w:id="17" w:name="_Toc4659"/>
      <w:r>
        <w:rPr>
          <w:rFonts w:hint="eastAsia" w:asciiTheme="minorHAnsi" w:hAnsiTheme="minorHAnsi" w:cstheme="minorHAnsi"/>
          <w:lang w:val="en-US" w:eastAsia="zh-CN"/>
        </w:rPr>
        <w:t>推送设置（手动）</w:t>
      </w:r>
      <w:bookmarkEnd w:id="17"/>
    </w:p>
    <w:p>
      <w:pPr>
        <w:rPr>
          <w:rFonts w:hint="eastAsia" w:cstheme="minorHAnsi"/>
          <w:lang w:val="en-US" w:eastAsia="zh-CN"/>
        </w:rPr>
      </w:pPr>
      <w:r>
        <w:rPr>
          <w:rFonts w:hint="eastAsia" w:cstheme="minorHAnsi"/>
          <w:lang w:val="en-US" w:eastAsia="zh-CN"/>
        </w:rPr>
        <w:t>1.周计划列表，点击推送设置，进入推送设置页面。</w:t>
      </w:r>
    </w:p>
    <w:p>
      <w:pPr>
        <w:rPr>
          <w:rFonts w:hint="eastAsia" w:cstheme="minorHAnsi"/>
          <w:lang w:val="en-US" w:eastAsia="zh-CN"/>
        </w:rPr>
      </w:pPr>
      <w:r>
        <w:rPr>
          <w:rFonts w:hint="eastAsia" w:cstheme="minorHAnsi"/>
          <w:lang w:val="en-US" w:eastAsia="zh-CN"/>
        </w:rPr>
        <w:t>点击新增推送，进入创建推送页面，如下图。</w:t>
      </w:r>
    </w:p>
    <w:p>
      <w:pPr>
        <w:rPr>
          <w:rFonts w:hint="eastAsia" w:cstheme="minorHAnsi"/>
          <w:lang w:val="en-US" w:eastAsia="zh-CN"/>
        </w:rPr>
      </w:pPr>
      <w:r>
        <w:rPr>
          <w:rFonts w:hint="eastAsia" w:cstheme="minorHAnsi"/>
          <w:lang w:val="en-US" w:eastAsia="zh-CN"/>
        </w:rPr>
        <w:t>Ps：为了方便区别，把这个推送定义为“手动推送”。</w:t>
      </w:r>
    </w:p>
    <w:p>
      <w:pPr>
        <w:rPr>
          <w:rFonts w:hint="eastAsia" w:cstheme="minorHAnsi"/>
          <w:lang w:val="en-US" w:eastAsia="zh-CN"/>
        </w:rPr>
      </w:pPr>
      <w:r>
        <w:drawing>
          <wp:inline distT="0" distB="0" distL="114300" distR="114300">
            <wp:extent cx="4994275" cy="4821555"/>
            <wp:effectExtent l="0" t="0" r="15875" b="1714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94275" cy="4821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cstheme="minorHAnsi"/>
          <w:lang w:val="en-US" w:eastAsia="zh-CN"/>
        </w:rPr>
      </w:pPr>
    </w:p>
    <w:p>
      <w:pPr>
        <w:numPr>
          <w:numId w:val="0"/>
        </w:numPr>
        <w:rPr>
          <w:rFonts w:hint="eastAsia" w:cstheme="minorHAnsi"/>
          <w:lang w:val="en-US" w:eastAsia="zh-CN"/>
        </w:rPr>
      </w:pPr>
      <w:r>
        <w:rPr>
          <w:rFonts w:hint="eastAsia" w:cstheme="minorHAnsi"/>
          <w:lang w:val="en-US" w:eastAsia="zh-CN"/>
        </w:rPr>
        <w:t>1）时间段选取：用户可以切换时间计划A--G，来选择对应的时间段，选定时间段后，设置的推送即是推送这个时间段的考勤数据。</w:t>
      </w:r>
    </w:p>
    <w:p>
      <w:pPr>
        <w:numPr>
          <w:numId w:val="0"/>
        </w:numPr>
        <w:rPr>
          <w:rFonts w:hint="eastAsia" w:cstheme="minorHAnsi"/>
          <w:lang w:val="en-US" w:eastAsia="zh-CN"/>
        </w:rPr>
      </w:pPr>
      <w:r>
        <w:rPr>
          <w:rFonts w:hint="eastAsia" w:cstheme="minorHAnsi"/>
          <w:lang w:val="en-US" w:eastAsia="zh-CN"/>
        </w:rPr>
        <w:t>2）推送时间：可以设置考勤时间段之内或之后的时间，如果设置之内的时间，则推送的是进校门的数据，如果设置之后的时间，则推送的是进校门和出校门的数据。</w:t>
      </w:r>
    </w:p>
    <w:p>
      <w:pPr>
        <w:numPr>
          <w:numId w:val="0"/>
        </w:numPr>
        <w:rPr>
          <w:rFonts w:hint="eastAsia" w:cstheme="minorHAnsi"/>
          <w:lang w:val="en-US" w:eastAsia="zh-CN"/>
        </w:rPr>
      </w:pPr>
      <w:r>
        <w:rPr>
          <w:rFonts w:hint="eastAsia" w:cstheme="minorHAnsi"/>
          <w:lang w:val="en-US" w:eastAsia="zh-CN"/>
        </w:rPr>
        <w:t>3）推送内容：必填项，可以单选或多选。</w:t>
      </w:r>
    </w:p>
    <w:p>
      <w:pPr>
        <w:numPr>
          <w:numId w:val="0"/>
        </w:numPr>
        <w:rPr>
          <w:rFonts w:hint="eastAsia" w:cstheme="minorHAnsi"/>
          <w:lang w:val="en-US" w:eastAsia="zh-CN"/>
        </w:rPr>
      </w:pPr>
      <w:r>
        <w:rPr>
          <w:rFonts w:hint="eastAsia" w:cstheme="minorHAnsi"/>
          <w:lang w:val="en-US" w:eastAsia="zh-CN"/>
        </w:rPr>
        <w:t>4）推送周期：必填项，可以单选或多选。勾选后，周循环推送。</w:t>
      </w:r>
    </w:p>
    <w:p>
      <w:pPr>
        <w:numPr>
          <w:numId w:val="0"/>
        </w:numPr>
        <w:rPr>
          <w:rFonts w:hint="eastAsia" w:cstheme="minorHAnsi"/>
          <w:lang w:val="en-US" w:eastAsia="zh-CN"/>
        </w:rPr>
      </w:pPr>
      <w:r>
        <w:rPr>
          <w:rFonts w:hint="eastAsia" w:cstheme="minorHAnsi"/>
          <w:lang w:val="en-US" w:eastAsia="zh-CN"/>
        </w:rPr>
        <w:t>5）教师选择：列出该学校下所有的教师，必填项，可以单选或多选。被勾选的教师都可以收到推送。</w:t>
      </w:r>
    </w:p>
    <w:p>
      <w:pPr>
        <w:numPr>
          <w:numId w:val="0"/>
        </w:numPr>
        <w:rPr>
          <w:rFonts w:hint="eastAsia" w:cstheme="minorHAnsi"/>
          <w:lang w:val="en-US" w:eastAsia="zh-CN"/>
        </w:rPr>
      </w:pPr>
      <w:r>
        <w:rPr>
          <w:rFonts w:hint="eastAsia" w:cstheme="minorHAnsi"/>
          <w:lang w:val="en-US" w:eastAsia="zh-CN"/>
        </w:rPr>
        <w:t>手机上，收到推送如下图：显示多少人迟到、早退、缺勤和请假。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1905000" cy="3133090"/>
            <wp:effectExtent l="0" t="0" r="0" b="1016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133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</w:t>
      </w:r>
      <w:r>
        <w:drawing>
          <wp:inline distT="0" distB="0" distL="114300" distR="114300">
            <wp:extent cx="1933575" cy="3190240"/>
            <wp:effectExtent l="0" t="0" r="9525" b="1016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3190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firstLine="840" w:firstLineChars="4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手动推送消息                                       消息详情页               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点击进入，查看详情页。详情页，迟到/早退的学生显示姓名、班级、时间（打卡的时间）；请假/缺勤/归寝异常的学生显示姓名和班级；迟到/早退的教师显示教师姓名和时间；缺勤的教师仅显示姓名；</w:t>
      </w:r>
    </w:p>
    <w:p>
      <w:pPr>
        <w:widowControl w:val="0"/>
        <w:numPr>
          <w:ilvl w:val="0"/>
          <w:numId w:val="4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自动推送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刚才文档描述的是手动推送，与之对应的是自动推送。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自动推送即为：考勤计划中，每个考勤时间段完成，在5分钟后，会给当前计划中参与考勤的班级班主任推送一个消息。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手机端收到推送消息如下图：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点击查看详情，跳到手机端新版考勤页面。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1952625" cy="3171190"/>
            <wp:effectExtent l="0" t="0" r="9525" b="10160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3171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</w:t>
      </w:r>
      <w:r>
        <w:drawing>
          <wp:inline distT="0" distB="0" distL="114300" distR="114300">
            <wp:extent cx="1971675" cy="3190240"/>
            <wp:effectExtent l="0" t="0" r="9525" b="10160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3190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firstLine="840" w:firstLineChars="4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自动推送消息                                    新考勤页面</w:t>
      </w:r>
    </w:p>
    <w:p>
      <w:pPr>
        <w:numPr>
          <w:ilvl w:val="0"/>
          <w:numId w:val="4"/>
        </w:numPr>
        <w:tabs>
          <w:tab w:val="clear" w:pos="312"/>
        </w:tabs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编辑和删除推送（手动推送）</w:t>
      </w:r>
    </w:p>
    <w:p>
      <w:pPr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推送设置列表，已经创建的推送（手动），可以编辑删除。</w:t>
      </w:r>
    </w:p>
    <w:p>
      <w:pPr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编辑的规则与创建相同，编辑保存成功，按照新设定的内容进行推送。</w:t>
      </w:r>
    </w:p>
    <w:p>
      <w:pPr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删除推送后，将不再执行推送。</w:t>
      </w:r>
    </w:p>
    <w:p>
      <w:pPr>
        <w:pStyle w:val="3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bookmarkStart w:id="18" w:name="_Toc11485"/>
      <w:r>
        <w:rPr>
          <w:rFonts w:hint="eastAsia" w:asciiTheme="minorHAnsi" w:hAnsiTheme="minorHAnsi" w:cstheme="minorHAnsi"/>
          <w:lang w:val="en-US" w:eastAsia="zh-CN"/>
        </w:rPr>
        <w:t>周计划列表-----统计</w:t>
      </w:r>
      <w:bookmarkEnd w:id="18"/>
    </w:p>
    <w:p>
      <w:pPr>
        <w:rPr>
          <w:rFonts w:hint="eastAsia" w:cstheme="minorHAnsi"/>
          <w:lang w:val="en-US" w:eastAsia="zh-CN"/>
        </w:rPr>
      </w:pPr>
      <w:r>
        <w:rPr>
          <w:rFonts w:hint="eastAsia" w:cstheme="minorHAnsi"/>
          <w:lang w:val="en-US" w:eastAsia="zh-CN"/>
        </w:rPr>
        <w:t>周计划列表页，点击统计，可以查看当前计划的考勤数据统计。</w:t>
      </w:r>
    </w:p>
    <w:p>
      <w:r>
        <w:drawing>
          <wp:inline distT="0" distB="0" distL="114300" distR="114300">
            <wp:extent cx="5268595" cy="3354070"/>
            <wp:effectExtent l="0" t="0" r="8255" b="1778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54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默认显示一周的数据，可以按时间和考勤时间段搜索。</w:t>
      </w:r>
    </w:p>
    <w:p>
      <w:pPr>
        <w:numPr>
          <w:ilvl w:val="0"/>
          <w:numId w:val="5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列表排序默认按迟到次数倒序排序，可以手动设置点击箭头按照不同的维度排序。</w:t>
      </w:r>
    </w:p>
    <w:p>
      <w:pPr>
        <w:numPr>
          <w:ilvl w:val="0"/>
          <w:numId w:val="5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点击“数据导出”，可以导出当前页面的数据。</w:t>
      </w:r>
    </w:p>
    <w:p>
      <w:pPr>
        <w:numPr>
          <w:ilvl w:val="0"/>
          <w:numId w:val="5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点击“查看详情”，可以查当前人员的考勤记录。</w:t>
      </w:r>
    </w:p>
    <w:p>
      <w:pPr>
        <w:numPr>
          <w:ilvl w:val="0"/>
          <w:numId w:val="5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当时段选择为“全部”时，统计的数据为：当前计划中所有时段的累计。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Ps：统计的数量为次数，即每个时段只要有一次迟到/早退，数量就+1。</w:t>
      </w:r>
    </w:p>
    <w:p>
      <w:pPr>
        <w:pStyle w:val="3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bookmarkStart w:id="19" w:name="_Toc25199"/>
      <w:r>
        <w:rPr>
          <w:rFonts w:hint="eastAsia" w:asciiTheme="minorHAnsi" w:hAnsiTheme="minorHAnsi" w:cstheme="minorHAnsi"/>
          <w:lang w:val="en-US" w:eastAsia="zh-CN"/>
        </w:rPr>
        <w:t>考勤计划----考勤统计</w:t>
      </w:r>
      <w:bookmarkEnd w:id="19"/>
    </w:p>
    <w:p>
      <w:pPr>
        <w:rPr>
          <w:rFonts w:hint="eastAsia" w:cstheme="minorHAnsi"/>
          <w:lang w:val="en-US" w:eastAsia="zh-CN"/>
        </w:rPr>
      </w:pPr>
      <w:r>
        <w:rPr>
          <w:rFonts w:hint="eastAsia" w:cstheme="minorHAnsi"/>
          <w:lang w:val="en-US" w:eastAsia="zh-CN"/>
        </w:rPr>
        <w:t>1.考勤计划，点击考勤统计进入，可以按班级查看学生的考勤数据。如下图;</w:t>
      </w:r>
    </w:p>
    <w:p>
      <w:r>
        <w:drawing>
          <wp:inline distT="0" distB="0" distL="114300" distR="114300">
            <wp:extent cx="5267325" cy="3373120"/>
            <wp:effectExtent l="0" t="0" r="9525" b="17780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73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默认显示当前的数据，可以按日期查询。</w:t>
      </w:r>
    </w:p>
    <w:p>
      <w:pPr>
        <w:numPr>
          <w:ilvl w:val="0"/>
          <w:numId w:val="6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点击“导出excel”，可以导出当前页面的数据。</w:t>
      </w:r>
    </w:p>
    <w:p>
      <w:pPr>
        <w:numPr>
          <w:ilvl w:val="0"/>
          <w:numId w:val="6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点击“导出异常名单”，可以导出当前页面所有考勤异常的学生名单。</w:t>
      </w:r>
    </w:p>
    <w:p>
      <w:pPr>
        <w:numPr>
          <w:ilvl w:val="0"/>
          <w:numId w:val="6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考勤数据为实时统计。</w:t>
      </w:r>
    </w:p>
    <w:p>
      <w:pPr>
        <w:numPr>
          <w:ilvl w:val="0"/>
          <w:numId w:val="6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统计的数量为次数，即每个时段只要有一次迟到/早退/未打卡，数量就+1。</w:t>
      </w:r>
    </w:p>
    <w:p>
      <w:pPr>
        <w:numPr>
          <w:ilvl w:val="0"/>
          <w:numId w:val="6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修改考勤计划，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只影响当天及之后的考勤统计。</w:t>
      </w:r>
    </w:p>
    <w:p>
      <w:pPr>
        <w:numPr>
          <w:ilvl w:val="0"/>
          <w:numId w:val="6"/>
        </w:numPr>
        <w:rPr>
          <w:rFonts w:hint="eastAsia"/>
          <w:lang w:val="en-US" w:eastAsia="zh-CN"/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点击“详情”，进入该 班级考勤详情页。</w:t>
      </w:r>
    </w:p>
    <w:p>
      <w:pPr>
        <w:numPr>
          <w:ilvl w:val="0"/>
          <w:numId w:val="7"/>
        </w:num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班级考勤详情页</w:t>
      </w:r>
    </w:p>
    <w:p>
      <w:pPr>
        <w:numPr>
          <w:ilvl w:val="0"/>
          <w:numId w:val="8"/>
        </w:num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考勤详情页，可以按班级和学生类型进行搜索，查看相应的考勤数据。</w:t>
      </w:r>
    </w:p>
    <w:p>
      <w:pPr>
        <w:numPr>
          <w:ilvl w:val="0"/>
          <w:numId w:val="8"/>
        </w:num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可以按时间搜索 ，查看不同时间的考勤数据。</w:t>
      </w:r>
    </w:p>
    <w:p>
      <w:pPr>
        <w:numPr>
          <w:ilvl w:val="0"/>
          <w:numId w:val="8"/>
        </w:num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点击“导出excel”，可以导出当前页面的数据。</w:t>
      </w:r>
    </w:p>
    <w:p>
      <w:pPr>
        <w:numPr>
          <w:ilvl w:val="0"/>
          <w:numId w:val="8"/>
        </w:num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点击“查看详情”，可以查看当前人员的打卡记录。</w:t>
      </w:r>
    </w:p>
    <w:p>
      <w:pPr>
        <w:pStyle w:val="3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bookmarkStart w:id="20" w:name="_Toc18877"/>
      <w:r>
        <w:rPr>
          <w:rFonts w:hint="eastAsia" w:asciiTheme="minorHAnsi" w:hAnsiTheme="minorHAnsi" w:cstheme="minorHAnsi"/>
          <w:lang w:val="en-US" w:eastAsia="zh-CN"/>
        </w:rPr>
        <w:t>考勤----手机端</w:t>
      </w:r>
      <w:bookmarkEnd w:id="20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考勤优化后，手机端页面更改，现在页面如下图：</w:t>
      </w:r>
    </w:p>
    <w:p>
      <w:r>
        <w:drawing>
          <wp:inline distT="0" distB="0" distL="114300" distR="114300">
            <wp:extent cx="4229735" cy="6525260"/>
            <wp:effectExtent l="0" t="0" r="18415" b="8890"/>
            <wp:docPr id="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29735" cy="6525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9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每个考勤计划的考勤时间段只显示进校门的自定义名称和考勤时间。</w:t>
      </w:r>
    </w:p>
    <w:p>
      <w:pPr>
        <w:numPr>
          <w:ilvl w:val="0"/>
          <w:numId w:val="9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可以按时间进行查询，查看不同日期的考勤数据。</w:t>
      </w:r>
    </w:p>
    <w:p>
      <w:pPr>
        <w:numPr>
          <w:ilvl w:val="0"/>
          <w:numId w:val="9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显示当前时间段考勤正常、异常（迟到和早退）和未到的人数。</w:t>
      </w:r>
    </w:p>
    <w:p>
      <w:pPr>
        <w:numPr>
          <w:ilvl w:val="0"/>
          <w:numId w:val="9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当前考勤时间段时间还未开始，列表中状态显示为：未到考勤时间，无法点击进入查看详情。</w:t>
      </w:r>
    </w:p>
    <w:p>
      <w:pPr>
        <w:numPr>
          <w:ilvl w:val="0"/>
          <w:numId w:val="9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点击“查看详情”，进入详情页，可以查看该时间段每个学生的考勤情况。如下图所示：</w:t>
      </w:r>
    </w:p>
    <w:p>
      <w:pPr>
        <w:numPr>
          <w:numId w:val="0"/>
        </w:num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numId w:val="0"/>
        </w:numPr>
        <w:ind w:left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3295650" cy="5200650"/>
            <wp:effectExtent l="0" t="0" r="0" b="0"/>
            <wp:docPr id="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9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点击“考勤详情”，进入该人员的考勤详情，该页显示他所有的打卡的记录。如下图：</w:t>
      </w:r>
    </w:p>
    <w:p>
      <w:pPr>
        <w:numPr>
          <w:numId w:val="0"/>
        </w:numPr>
        <w:ind w:leftChars="0"/>
      </w:pPr>
      <w:r>
        <w:drawing>
          <wp:inline distT="0" distB="0" distL="114300" distR="114300">
            <wp:extent cx="3229610" cy="2973070"/>
            <wp:effectExtent l="0" t="0" r="8890" b="17780"/>
            <wp:docPr id="2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29610" cy="2973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9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可以按时间查询，查看不同的时间的考勤打卡记录。</w:t>
      </w:r>
    </w:p>
    <w:p>
      <w:pPr>
        <w:numPr>
          <w:ilvl w:val="0"/>
          <w:numId w:val="9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考勤异常的数据可以手动置为正常，点击“置为正常”，考勤状态即变成正常。</w:t>
      </w:r>
    </w:p>
    <w:p>
      <w:pPr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Ps：考勤未开始的时间无法手动置为正常。</w:t>
      </w:r>
    </w:p>
    <w:p>
      <w:pPr>
        <w:numPr>
          <w:numId w:val="0"/>
        </w:numPr>
        <w:ind w:leftChars="0"/>
        <w:rPr>
          <w:rFonts w:hint="eastAsia"/>
          <w:lang w:val="en-US" w:eastAsia="zh-CN"/>
        </w:rPr>
      </w:pPr>
    </w:p>
    <w:p>
      <w:pPr>
        <w:spacing w:line="360" w:lineRule="auto"/>
        <w:rPr>
          <w:rFonts w:hint="eastAsia" w:cstheme="minorHAnsi"/>
        </w:rPr>
      </w:pPr>
    </w:p>
    <w:p>
      <w:pPr>
        <w:spacing w:line="360" w:lineRule="auto"/>
        <w:rPr>
          <w:rFonts w:hint="eastAsia" w:cstheme="minorHAnsi"/>
        </w:rPr>
      </w:pPr>
    </w:p>
    <w:p>
      <w:pPr>
        <w:spacing w:line="360" w:lineRule="auto"/>
        <w:rPr>
          <w:rFonts w:cstheme="minorHAnsi"/>
        </w:rPr>
      </w:pPr>
    </w:p>
    <w:p>
      <w:pPr>
        <w:spacing w:line="360" w:lineRule="auto"/>
        <w:rPr>
          <w:rFonts w:cstheme="minorHAnsi"/>
        </w:rPr>
      </w:pPr>
    </w:p>
    <w:p>
      <w:pPr>
        <w:spacing w:line="360" w:lineRule="auto"/>
        <w:jc w:val="right"/>
        <w:rPr>
          <w:rFonts w:cstheme="minorHAnsi"/>
          <w:b/>
          <w:bCs/>
          <w:sz w:val="32"/>
          <w:szCs w:val="40"/>
        </w:rPr>
      </w:pPr>
    </w:p>
    <w:p>
      <w:pPr>
        <w:spacing w:line="360" w:lineRule="auto"/>
        <w:jc w:val="right"/>
        <w:rPr>
          <w:rFonts w:cstheme="minorHAnsi"/>
          <w:b/>
          <w:bCs/>
          <w:sz w:val="32"/>
          <w:szCs w:val="40"/>
        </w:rPr>
      </w:pPr>
    </w:p>
    <w:p>
      <w:pPr>
        <w:spacing w:line="360" w:lineRule="auto"/>
        <w:jc w:val="right"/>
        <w:rPr>
          <w:rFonts w:cstheme="minorHAnsi"/>
          <w:b/>
          <w:bCs/>
          <w:sz w:val="32"/>
          <w:szCs w:val="40"/>
        </w:rPr>
      </w:pPr>
    </w:p>
    <w:p>
      <w:pPr>
        <w:spacing w:line="360" w:lineRule="auto"/>
        <w:jc w:val="right"/>
        <w:rPr>
          <w:rFonts w:cstheme="minorHAnsi"/>
          <w:b/>
          <w:bCs/>
          <w:sz w:val="32"/>
          <w:szCs w:val="40"/>
        </w:rPr>
      </w:pPr>
    </w:p>
    <w:p>
      <w:pPr>
        <w:spacing w:line="360" w:lineRule="auto"/>
        <w:jc w:val="right"/>
        <w:rPr>
          <w:rFonts w:cstheme="minorHAnsi"/>
          <w:b/>
          <w:bCs/>
          <w:sz w:val="32"/>
          <w:szCs w:val="40"/>
        </w:rPr>
      </w:pPr>
    </w:p>
    <w:p>
      <w:pPr>
        <w:spacing w:line="360" w:lineRule="auto"/>
        <w:jc w:val="right"/>
        <w:rPr>
          <w:rFonts w:cstheme="minorHAnsi"/>
          <w:b/>
          <w:bCs/>
          <w:sz w:val="32"/>
          <w:szCs w:val="40"/>
        </w:rPr>
      </w:pPr>
    </w:p>
    <w:p>
      <w:pPr>
        <w:spacing w:line="360" w:lineRule="auto"/>
        <w:jc w:val="right"/>
        <w:rPr>
          <w:rFonts w:cstheme="minorHAnsi"/>
          <w:b/>
          <w:bCs/>
          <w:sz w:val="32"/>
          <w:szCs w:val="40"/>
        </w:rPr>
      </w:pPr>
    </w:p>
    <w:p>
      <w:pPr>
        <w:spacing w:line="360" w:lineRule="auto"/>
        <w:jc w:val="right"/>
        <w:rPr>
          <w:rFonts w:cstheme="minorHAnsi"/>
          <w:b/>
          <w:bCs/>
          <w:sz w:val="32"/>
          <w:szCs w:val="40"/>
        </w:rPr>
      </w:pPr>
    </w:p>
    <w:p>
      <w:pPr>
        <w:spacing w:line="360" w:lineRule="auto"/>
        <w:jc w:val="right"/>
        <w:rPr>
          <w:rFonts w:cstheme="minorHAnsi"/>
          <w:b/>
          <w:bCs/>
          <w:sz w:val="32"/>
          <w:szCs w:val="40"/>
        </w:rPr>
      </w:pPr>
    </w:p>
    <w:p>
      <w:pPr>
        <w:spacing w:line="360" w:lineRule="auto"/>
        <w:jc w:val="right"/>
        <w:rPr>
          <w:rFonts w:cstheme="minorHAnsi"/>
          <w:b/>
          <w:bCs/>
          <w:sz w:val="32"/>
          <w:szCs w:val="40"/>
        </w:rPr>
      </w:pPr>
    </w:p>
    <w:p>
      <w:pPr>
        <w:spacing w:line="360" w:lineRule="auto"/>
        <w:jc w:val="right"/>
        <w:rPr>
          <w:rFonts w:cstheme="minorHAnsi"/>
          <w:b/>
          <w:bCs/>
          <w:sz w:val="32"/>
          <w:szCs w:val="40"/>
        </w:rPr>
      </w:pPr>
    </w:p>
    <w:p>
      <w:pPr>
        <w:spacing w:line="360" w:lineRule="auto"/>
        <w:jc w:val="right"/>
        <w:rPr>
          <w:rFonts w:cstheme="minorHAnsi"/>
          <w:b/>
          <w:bCs/>
          <w:sz w:val="32"/>
          <w:szCs w:val="40"/>
        </w:rPr>
      </w:pPr>
      <w:r>
        <w:rPr>
          <w:rFonts w:cstheme="minorHAnsi"/>
          <w:b/>
          <w:bCs/>
          <w:sz w:val="32"/>
          <w:szCs w:val="40"/>
        </w:rPr>
        <w:t>==文档结束==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180" w:firstLineChars="100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9" name="文本框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zSVju0AAAAAUBAAAPAAAAAAAAAAEAIAAAACIA&#10;AABkcnMvZG93bnJldi54bWxQSwECFAAUAAAACACHTuJA0HKh3BECAAAJBAAADgAAAAAAAAABACAA&#10;AAAfAQAAZHJzL2Uyb0RvYy54bWxQSwUGAAAAAAYABgBZAQAAo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cs="Arial"/>
        <w:szCs w:val="21"/>
      </w:rPr>
      <w:t>版权所有</w:t>
    </w:r>
    <w:r>
      <w:rPr>
        <w:rFonts w:ascii="Trebuchet MS" w:hAnsi="Trebuchet MS" w:cs="Arial"/>
        <w:szCs w:val="21"/>
      </w:rPr>
      <w:t xml:space="preserve"> © </w:t>
    </w:r>
    <w:r>
      <w:rPr>
        <w:rFonts w:hint="eastAsia" w:ascii="Trebuchet MS" w:hAnsi="Trebuchet MS" w:cs="Arial"/>
        <w:szCs w:val="21"/>
      </w:rPr>
      <w:t>成都致学教育</w:t>
    </w:r>
    <w:r>
      <w:rPr>
        <w:rFonts w:hint="eastAsia" w:ascii="宋体" w:hAnsi="宋体" w:cs="Arial"/>
        <w:szCs w:val="21"/>
      </w:rPr>
      <w:t xml:space="preserve">科技有限公司，保留所有权利  </w:t>
    </w:r>
  </w:p>
  <w:p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0" name="文本框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bCC2Kw4CAAAJ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cs="Arial"/>
        <w:szCs w:val="21"/>
      </w:rPr>
      <w:t>版权所有</w:t>
    </w:r>
    <w:r>
      <w:rPr>
        <w:rFonts w:ascii="Trebuchet MS" w:hAnsi="Trebuchet MS" w:cs="Arial"/>
        <w:szCs w:val="21"/>
      </w:rPr>
      <w:t xml:space="preserve"> © </w:t>
    </w:r>
    <w:r>
      <w:rPr>
        <w:rFonts w:hint="eastAsia" w:ascii="Trebuchet MS" w:hAnsi="Trebuchet MS" w:cs="Arial"/>
        <w:szCs w:val="21"/>
      </w:rPr>
      <w:t>成都致学教育</w:t>
    </w:r>
    <w:r>
      <w:rPr>
        <w:rFonts w:hint="eastAsia" w:ascii="宋体" w:hAnsi="宋体" w:cs="Arial"/>
        <w:szCs w:val="21"/>
      </w:rPr>
      <w:t xml:space="preserve">科技有限公司，保留所有权利 </w:t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rFonts w:hint="eastAsia"/>
      </w:rPr>
      <w:drawing>
        <wp:inline distT="0" distB="0" distL="114300" distR="114300">
          <wp:extent cx="344805" cy="360045"/>
          <wp:effectExtent l="0" t="0" r="17145" b="1905"/>
          <wp:docPr id="18" name="图片 30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图片 30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4805" cy="36004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   </w:t>
    </w:r>
    <w:r>
      <w:rPr>
        <w:rFonts w:hint="eastAsia"/>
        <w:lang w:val="en-US" w:eastAsia="zh-CN"/>
      </w:rPr>
      <w:t>致学教育</w:t>
    </w:r>
    <w:r>
      <w:rPr>
        <w:rFonts w:hint="eastAsia"/>
      </w:rPr>
      <w:t>·</w:t>
    </w:r>
    <w:r>
      <w:rPr>
        <w:rFonts w:hint="eastAsia"/>
        <w:lang w:val="en-US" w:eastAsia="zh-CN"/>
      </w:rPr>
      <w:t>考勤</w:t>
    </w:r>
    <w:r>
      <w:rPr>
        <w:rFonts w:hint="eastAsia"/>
      </w:rPr>
      <w:t xml:space="preserve">用户手册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rPr>
        <w:sz w:val="20"/>
      </w:rPr>
    </w:pPr>
    <w:r>
      <w:rPr>
        <w:rFonts w:hint="eastAsia"/>
      </w:rPr>
      <w:drawing>
        <wp:inline distT="0" distB="0" distL="114300" distR="114300">
          <wp:extent cx="344805" cy="360045"/>
          <wp:effectExtent l="0" t="0" r="17145" b="1905"/>
          <wp:docPr id="19" name="图片 29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图片 29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4805" cy="36004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   爱上学·后台配置客户端主页入口操作手册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D5C6936"/>
    <w:multiLevelType w:val="singleLevel"/>
    <w:tmpl w:val="DD5C6936"/>
    <w:lvl w:ilvl="0" w:tentative="0">
      <w:start w:val="1"/>
      <w:numFmt w:val="decimal"/>
      <w:suff w:val="nothing"/>
      <w:lvlText w:val="%1）"/>
      <w:lvlJc w:val="left"/>
    </w:lvl>
  </w:abstractNum>
  <w:abstractNum w:abstractNumId="1">
    <w:nsid w:val="DE2CCAC6"/>
    <w:multiLevelType w:val="singleLevel"/>
    <w:tmpl w:val="DE2CCAC6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46E5B50D"/>
    <w:multiLevelType w:val="singleLevel"/>
    <w:tmpl w:val="46E5B50D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4CF212C7"/>
    <w:multiLevelType w:val="multilevel"/>
    <w:tmpl w:val="4CF212C7"/>
    <w:lvl w:ilvl="0" w:tentative="0">
      <w:start w:val="1"/>
      <w:numFmt w:val="japaneseCounting"/>
      <w:lvlText w:val="%1、"/>
      <w:lvlJc w:val="left"/>
      <w:pPr>
        <w:ind w:left="672" w:hanging="672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285FACA"/>
    <w:multiLevelType w:val="singleLevel"/>
    <w:tmpl w:val="6285FACA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6ED3D978"/>
    <w:multiLevelType w:val="singleLevel"/>
    <w:tmpl w:val="6ED3D978"/>
    <w:lvl w:ilvl="0" w:tentative="0">
      <w:start w:val="1"/>
      <w:numFmt w:val="decimal"/>
      <w:suff w:val="nothing"/>
      <w:lvlText w:val="%1）"/>
      <w:lvlJc w:val="left"/>
    </w:lvl>
  </w:abstractNum>
  <w:abstractNum w:abstractNumId="6">
    <w:nsid w:val="7C564887"/>
    <w:multiLevelType w:val="multilevel"/>
    <w:tmpl w:val="7C56488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CBF0836"/>
    <w:multiLevelType w:val="multilevel"/>
    <w:tmpl w:val="7CBF083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D86BD92"/>
    <w:multiLevelType w:val="singleLevel"/>
    <w:tmpl w:val="7D86BD92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24F"/>
    <w:rsid w:val="000008DA"/>
    <w:rsid w:val="00000FE1"/>
    <w:rsid w:val="00005939"/>
    <w:rsid w:val="00007050"/>
    <w:rsid w:val="000074A4"/>
    <w:rsid w:val="000138A3"/>
    <w:rsid w:val="00013EE4"/>
    <w:rsid w:val="000140A0"/>
    <w:rsid w:val="0001671F"/>
    <w:rsid w:val="00022A33"/>
    <w:rsid w:val="00023369"/>
    <w:rsid w:val="0003669D"/>
    <w:rsid w:val="00043AB7"/>
    <w:rsid w:val="00045B1E"/>
    <w:rsid w:val="00051EF3"/>
    <w:rsid w:val="0005748B"/>
    <w:rsid w:val="00063620"/>
    <w:rsid w:val="000829B9"/>
    <w:rsid w:val="00085C44"/>
    <w:rsid w:val="00092270"/>
    <w:rsid w:val="000930F6"/>
    <w:rsid w:val="00097B1C"/>
    <w:rsid w:val="000A20DA"/>
    <w:rsid w:val="000A6493"/>
    <w:rsid w:val="000A7205"/>
    <w:rsid w:val="000B1108"/>
    <w:rsid w:val="000B46D3"/>
    <w:rsid w:val="000C2027"/>
    <w:rsid w:val="000C661E"/>
    <w:rsid w:val="000C7AD9"/>
    <w:rsid w:val="000D05B3"/>
    <w:rsid w:val="000D2620"/>
    <w:rsid w:val="000D30C5"/>
    <w:rsid w:val="000D480C"/>
    <w:rsid w:val="000D76BF"/>
    <w:rsid w:val="000E177A"/>
    <w:rsid w:val="000E2755"/>
    <w:rsid w:val="000E2DE8"/>
    <w:rsid w:val="000E6060"/>
    <w:rsid w:val="000E7FD3"/>
    <w:rsid w:val="000F3F25"/>
    <w:rsid w:val="001004EB"/>
    <w:rsid w:val="00101387"/>
    <w:rsid w:val="00104347"/>
    <w:rsid w:val="00105037"/>
    <w:rsid w:val="00110AA4"/>
    <w:rsid w:val="00112351"/>
    <w:rsid w:val="00115C32"/>
    <w:rsid w:val="00126CF0"/>
    <w:rsid w:val="00127936"/>
    <w:rsid w:val="001331DD"/>
    <w:rsid w:val="00133538"/>
    <w:rsid w:val="00135DFC"/>
    <w:rsid w:val="00143FA3"/>
    <w:rsid w:val="00147762"/>
    <w:rsid w:val="00151547"/>
    <w:rsid w:val="00152D06"/>
    <w:rsid w:val="00153559"/>
    <w:rsid w:val="001603CE"/>
    <w:rsid w:val="00165A31"/>
    <w:rsid w:val="00167010"/>
    <w:rsid w:val="00171A49"/>
    <w:rsid w:val="0017681B"/>
    <w:rsid w:val="001845A9"/>
    <w:rsid w:val="001A1CFF"/>
    <w:rsid w:val="001A26D0"/>
    <w:rsid w:val="001A79D4"/>
    <w:rsid w:val="001B074F"/>
    <w:rsid w:val="001D54A6"/>
    <w:rsid w:val="001E709D"/>
    <w:rsid w:val="001F5B4C"/>
    <w:rsid w:val="001F5D2E"/>
    <w:rsid w:val="0021212B"/>
    <w:rsid w:val="00213931"/>
    <w:rsid w:val="00213DB1"/>
    <w:rsid w:val="00217794"/>
    <w:rsid w:val="00217E77"/>
    <w:rsid w:val="002213E1"/>
    <w:rsid w:val="002243F3"/>
    <w:rsid w:val="0023458C"/>
    <w:rsid w:val="00237DCB"/>
    <w:rsid w:val="002412AC"/>
    <w:rsid w:val="002420A7"/>
    <w:rsid w:val="00245AC7"/>
    <w:rsid w:val="0025369F"/>
    <w:rsid w:val="00261BC9"/>
    <w:rsid w:val="00270A4A"/>
    <w:rsid w:val="00272388"/>
    <w:rsid w:val="00277AC5"/>
    <w:rsid w:val="00282446"/>
    <w:rsid w:val="00284B5F"/>
    <w:rsid w:val="00286BE4"/>
    <w:rsid w:val="0028704B"/>
    <w:rsid w:val="00291D1F"/>
    <w:rsid w:val="00294CC6"/>
    <w:rsid w:val="002B445E"/>
    <w:rsid w:val="002B535E"/>
    <w:rsid w:val="002C0F4C"/>
    <w:rsid w:val="002C2F70"/>
    <w:rsid w:val="002C40A5"/>
    <w:rsid w:val="002D4657"/>
    <w:rsid w:val="0030285E"/>
    <w:rsid w:val="0030522B"/>
    <w:rsid w:val="00314379"/>
    <w:rsid w:val="00316C1E"/>
    <w:rsid w:val="00321B3D"/>
    <w:rsid w:val="00327A64"/>
    <w:rsid w:val="00327E11"/>
    <w:rsid w:val="00331662"/>
    <w:rsid w:val="0033509F"/>
    <w:rsid w:val="0033631C"/>
    <w:rsid w:val="003373C5"/>
    <w:rsid w:val="00342747"/>
    <w:rsid w:val="003511C4"/>
    <w:rsid w:val="003614AF"/>
    <w:rsid w:val="00362CAA"/>
    <w:rsid w:val="00363C70"/>
    <w:rsid w:val="0036471F"/>
    <w:rsid w:val="00365014"/>
    <w:rsid w:val="00370308"/>
    <w:rsid w:val="003803FA"/>
    <w:rsid w:val="003808DE"/>
    <w:rsid w:val="00381947"/>
    <w:rsid w:val="00384B1E"/>
    <w:rsid w:val="003952F0"/>
    <w:rsid w:val="003A47C0"/>
    <w:rsid w:val="003B06FA"/>
    <w:rsid w:val="003B1DE5"/>
    <w:rsid w:val="003B4C41"/>
    <w:rsid w:val="003C0B30"/>
    <w:rsid w:val="003C0B5F"/>
    <w:rsid w:val="003C4C3D"/>
    <w:rsid w:val="003D073C"/>
    <w:rsid w:val="003D1D03"/>
    <w:rsid w:val="003D358A"/>
    <w:rsid w:val="003D4A94"/>
    <w:rsid w:val="003E51CC"/>
    <w:rsid w:val="003F1229"/>
    <w:rsid w:val="003F1D50"/>
    <w:rsid w:val="003F26C2"/>
    <w:rsid w:val="003F48F2"/>
    <w:rsid w:val="004062DB"/>
    <w:rsid w:val="00407291"/>
    <w:rsid w:val="00411B4C"/>
    <w:rsid w:val="004204D8"/>
    <w:rsid w:val="00422DF1"/>
    <w:rsid w:val="0043366D"/>
    <w:rsid w:val="00437645"/>
    <w:rsid w:val="0044779A"/>
    <w:rsid w:val="0045324F"/>
    <w:rsid w:val="004544CB"/>
    <w:rsid w:val="004579C5"/>
    <w:rsid w:val="00461457"/>
    <w:rsid w:val="00461C29"/>
    <w:rsid w:val="00467379"/>
    <w:rsid w:val="00470AFD"/>
    <w:rsid w:val="00471847"/>
    <w:rsid w:val="00474625"/>
    <w:rsid w:val="00474772"/>
    <w:rsid w:val="00482AE6"/>
    <w:rsid w:val="004847A6"/>
    <w:rsid w:val="00487C57"/>
    <w:rsid w:val="00491D55"/>
    <w:rsid w:val="004A217E"/>
    <w:rsid w:val="004A5B3D"/>
    <w:rsid w:val="004A6567"/>
    <w:rsid w:val="004B06A2"/>
    <w:rsid w:val="004B531C"/>
    <w:rsid w:val="004B6106"/>
    <w:rsid w:val="004B7FD6"/>
    <w:rsid w:val="004C3D03"/>
    <w:rsid w:val="004D6E43"/>
    <w:rsid w:val="004E0E93"/>
    <w:rsid w:val="004E2380"/>
    <w:rsid w:val="004E3F76"/>
    <w:rsid w:val="00507A1F"/>
    <w:rsid w:val="005101C7"/>
    <w:rsid w:val="00514104"/>
    <w:rsid w:val="00514DB4"/>
    <w:rsid w:val="005200F9"/>
    <w:rsid w:val="005210DC"/>
    <w:rsid w:val="0052300A"/>
    <w:rsid w:val="0052406A"/>
    <w:rsid w:val="00537A21"/>
    <w:rsid w:val="00537F1F"/>
    <w:rsid w:val="00553806"/>
    <w:rsid w:val="00556FDF"/>
    <w:rsid w:val="00563300"/>
    <w:rsid w:val="00565C76"/>
    <w:rsid w:val="00566707"/>
    <w:rsid w:val="00571CCF"/>
    <w:rsid w:val="00574EBA"/>
    <w:rsid w:val="005800F3"/>
    <w:rsid w:val="00583557"/>
    <w:rsid w:val="00593109"/>
    <w:rsid w:val="005B136D"/>
    <w:rsid w:val="005C540F"/>
    <w:rsid w:val="005C57C6"/>
    <w:rsid w:val="005C5B61"/>
    <w:rsid w:val="005D239B"/>
    <w:rsid w:val="005D33A3"/>
    <w:rsid w:val="005D3710"/>
    <w:rsid w:val="005D7A44"/>
    <w:rsid w:val="005D7A80"/>
    <w:rsid w:val="005E40F7"/>
    <w:rsid w:val="005E4488"/>
    <w:rsid w:val="005E5D43"/>
    <w:rsid w:val="005F1AB8"/>
    <w:rsid w:val="005F344B"/>
    <w:rsid w:val="00601195"/>
    <w:rsid w:val="00607F9F"/>
    <w:rsid w:val="00610724"/>
    <w:rsid w:val="00617ED4"/>
    <w:rsid w:val="00622710"/>
    <w:rsid w:val="0062557A"/>
    <w:rsid w:val="00630F5D"/>
    <w:rsid w:val="0064355B"/>
    <w:rsid w:val="00645DFF"/>
    <w:rsid w:val="006519FD"/>
    <w:rsid w:val="00676F19"/>
    <w:rsid w:val="0068167B"/>
    <w:rsid w:val="006835C0"/>
    <w:rsid w:val="00684DA7"/>
    <w:rsid w:val="00691514"/>
    <w:rsid w:val="00696893"/>
    <w:rsid w:val="006968C8"/>
    <w:rsid w:val="006A15E0"/>
    <w:rsid w:val="006A6F09"/>
    <w:rsid w:val="006A79AF"/>
    <w:rsid w:val="006B642A"/>
    <w:rsid w:val="006B703E"/>
    <w:rsid w:val="006C1BD5"/>
    <w:rsid w:val="006C2AE0"/>
    <w:rsid w:val="006C2B1B"/>
    <w:rsid w:val="006C4A85"/>
    <w:rsid w:val="006C5E7D"/>
    <w:rsid w:val="006D076A"/>
    <w:rsid w:val="006D2B31"/>
    <w:rsid w:val="006D3169"/>
    <w:rsid w:val="006D68B5"/>
    <w:rsid w:val="006E5C8D"/>
    <w:rsid w:val="006F57BE"/>
    <w:rsid w:val="0070030A"/>
    <w:rsid w:val="0070724F"/>
    <w:rsid w:val="007162F9"/>
    <w:rsid w:val="00717ECE"/>
    <w:rsid w:val="00724BA2"/>
    <w:rsid w:val="007250C8"/>
    <w:rsid w:val="00727B5C"/>
    <w:rsid w:val="007458B0"/>
    <w:rsid w:val="00751D23"/>
    <w:rsid w:val="00753B7D"/>
    <w:rsid w:val="0075781A"/>
    <w:rsid w:val="00757C04"/>
    <w:rsid w:val="00764C81"/>
    <w:rsid w:val="00764FB2"/>
    <w:rsid w:val="0077482D"/>
    <w:rsid w:val="007751ED"/>
    <w:rsid w:val="00776393"/>
    <w:rsid w:val="00776C17"/>
    <w:rsid w:val="007803BE"/>
    <w:rsid w:val="00784464"/>
    <w:rsid w:val="007A0BB3"/>
    <w:rsid w:val="007A133B"/>
    <w:rsid w:val="007B3DEC"/>
    <w:rsid w:val="007C1EB6"/>
    <w:rsid w:val="007D0CF7"/>
    <w:rsid w:val="007D3232"/>
    <w:rsid w:val="007E29BA"/>
    <w:rsid w:val="007E2F98"/>
    <w:rsid w:val="007F0B79"/>
    <w:rsid w:val="007F6DF6"/>
    <w:rsid w:val="0080580A"/>
    <w:rsid w:val="0080646B"/>
    <w:rsid w:val="00814152"/>
    <w:rsid w:val="00814334"/>
    <w:rsid w:val="00824289"/>
    <w:rsid w:val="00833872"/>
    <w:rsid w:val="00834939"/>
    <w:rsid w:val="00836C2F"/>
    <w:rsid w:val="00852DA5"/>
    <w:rsid w:val="0086034C"/>
    <w:rsid w:val="008603F7"/>
    <w:rsid w:val="0086123E"/>
    <w:rsid w:val="008653F5"/>
    <w:rsid w:val="00865D11"/>
    <w:rsid w:val="00885573"/>
    <w:rsid w:val="00886A9A"/>
    <w:rsid w:val="00887C4C"/>
    <w:rsid w:val="008938A2"/>
    <w:rsid w:val="008947FF"/>
    <w:rsid w:val="00897007"/>
    <w:rsid w:val="008A5DD4"/>
    <w:rsid w:val="008A7A71"/>
    <w:rsid w:val="008B44B1"/>
    <w:rsid w:val="008B5B29"/>
    <w:rsid w:val="008E6B65"/>
    <w:rsid w:val="008F0894"/>
    <w:rsid w:val="008F0D88"/>
    <w:rsid w:val="008F0DB9"/>
    <w:rsid w:val="00913EDB"/>
    <w:rsid w:val="00916499"/>
    <w:rsid w:val="0092108D"/>
    <w:rsid w:val="00926E51"/>
    <w:rsid w:val="00937A51"/>
    <w:rsid w:val="0094014A"/>
    <w:rsid w:val="0094019B"/>
    <w:rsid w:val="00941BA7"/>
    <w:rsid w:val="00942120"/>
    <w:rsid w:val="00944565"/>
    <w:rsid w:val="00950220"/>
    <w:rsid w:val="00965637"/>
    <w:rsid w:val="0096788B"/>
    <w:rsid w:val="00967F3D"/>
    <w:rsid w:val="00971F19"/>
    <w:rsid w:val="00981732"/>
    <w:rsid w:val="009824BF"/>
    <w:rsid w:val="00982F16"/>
    <w:rsid w:val="00985C89"/>
    <w:rsid w:val="00985D55"/>
    <w:rsid w:val="00992227"/>
    <w:rsid w:val="009922BA"/>
    <w:rsid w:val="00996FC1"/>
    <w:rsid w:val="009A01C8"/>
    <w:rsid w:val="009A7F0F"/>
    <w:rsid w:val="009B384D"/>
    <w:rsid w:val="009B3FD8"/>
    <w:rsid w:val="009B7E13"/>
    <w:rsid w:val="009C5C0E"/>
    <w:rsid w:val="009C759F"/>
    <w:rsid w:val="009E0002"/>
    <w:rsid w:val="009E1D9D"/>
    <w:rsid w:val="009E6B8D"/>
    <w:rsid w:val="009F5862"/>
    <w:rsid w:val="009F5FD4"/>
    <w:rsid w:val="00A02036"/>
    <w:rsid w:val="00A0277E"/>
    <w:rsid w:val="00A06B12"/>
    <w:rsid w:val="00A150AB"/>
    <w:rsid w:val="00A16AF5"/>
    <w:rsid w:val="00A170C0"/>
    <w:rsid w:val="00A23635"/>
    <w:rsid w:val="00A27CB0"/>
    <w:rsid w:val="00A32652"/>
    <w:rsid w:val="00A4243C"/>
    <w:rsid w:val="00A458A1"/>
    <w:rsid w:val="00A463FD"/>
    <w:rsid w:val="00A469F4"/>
    <w:rsid w:val="00A52A34"/>
    <w:rsid w:val="00A57308"/>
    <w:rsid w:val="00A640B7"/>
    <w:rsid w:val="00A65F94"/>
    <w:rsid w:val="00A73EA6"/>
    <w:rsid w:val="00A9075F"/>
    <w:rsid w:val="00AA26BB"/>
    <w:rsid w:val="00AA2FE7"/>
    <w:rsid w:val="00AA710C"/>
    <w:rsid w:val="00AB4564"/>
    <w:rsid w:val="00AB56A4"/>
    <w:rsid w:val="00AB6DE3"/>
    <w:rsid w:val="00AB7644"/>
    <w:rsid w:val="00AC25AF"/>
    <w:rsid w:val="00AC3D75"/>
    <w:rsid w:val="00AC756E"/>
    <w:rsid w:val="00AD1293"/>
    <w:rsid w:val="00AD29D8"/>
    <w:rsid w:val="00AD3F93"/>
    <w:rsid w:val="00AD5957"/>
    <w:rsid w:val="00AD6502"/>
    <w:rsid w:val="00AE0079"/>
    <w:rsid w:val="00AE73BA"/>
    <w:rsid w:val="00AF1B6B"/>
    <w:rsid w:val="00B040CD"/>
    <w:rsid w:val="00B0412B"/>
    <w:rsid w:val="00B04519"/>
    <w:rsid w:val="00B05E25"/>
    <w:rsid w:val="00B06FD6"/>
    <w:rsid w:val="00B1544B"/>
    <w:rsid w:val="00B15725"/>
    <w:rsid w:val="00B164BE"/>
    <w:rsid w:val="00B21BFE"/>
    <w:rsid w:val="00B22259"/>
    <w:rsid w:val="00B24915"/>
    <w:rsid w:val="00B312E3"/>
    <w:rsid w:val="00B33F8F"/>
    <w:rsid w:val="00B35346"/>
    <w:rsid w:val="00B35376"/>
    <w:rsid w:val="00B50562"/>
    <w:rsid w:val="00B70067"/>
    <w:rsid w:val="00B71F6B"/>
    <w:rsid w:val="00B75B90"/>
    <w:rsid w:val="00B827AA"/>
    <w:rsid w:val="00B841B3"/>
    <w:rsid w:val="00B944F6"/>
    <w:rsid w:val="00B951CD"/>
    <w:rsid w:val="00B9537B"/>
    <w:rsid w:val="00BB1143"/>
    <w:rsid w:val="00BB29A6"/>
    <w:rsid w:val="00BC3F94"/>
    <w:rsid w:val="00BC6084"/>
    <w:rsid w:val="00BD1CBB"/>
    <w:rsid w:val="00BF1BE9"/>
    <w:rsid w:val="00BF3EBE"/>
    <w:rsid w:val="00BF5041"/>
    <w:rsid w:val="00BF5ADE"/>
    <w:rsid w:val="00BF64AC"/>
    <w:rsid w:val="00C00E1D"/>
    <w:rsid w:val="00C07AE2"/>
    <w:rsid w:val="00C10256"/>
    <w:rsid w:val="00C1149B"/>
    <w:rsid w:val="00C1182D"/>
    <w:rsid w:val="00C16568"/>
    <w:rsid w:val="00C24FCA"/>
    <w:rsid w:val="00C40D69"/>
    <w:rsid w:val="00C47A85"/>
    <w:rsid w:val="00C47AD8"/>
    <w:rsid w:val="00C503CB"/>
    <w:rsid w:val="00C518D0"/>
    <w:rsid w:val="00C52464"/>
    <w:rsid w:val="00C57CEE"/>
    <w:rsid w:val="00C61309"/>
    <w:rsid w:val="00C617EC"/>
    <w:rsid w:val="00C6297F"/>
    <w:rsid w:val="00C64D64"/>
    <w:rsid w:val="00C72D4B"/>
    <w:rsid w:val="00C744A0"/>
    <w:rsid w:val="00C74EE7"/>
    <w:rsid w:val="00C81620"/>
    <w:rsid w:val="00C8456B"/>
    <w:rsid w:val="00C84B70"/>
    <w:rsid w:val="00C974CF"/>
    <w:rsid w:val="00CA457A"/>
    <w:rsid w:val="00CB06BA"/>
    <w:rsid w:val="00CB1ED2"/>
    <w:rsid w:val="00CD4EC3"/>
    <w:rsid w:val="00CD5A77"/>
    <w:rsid w:val="00CE1081"/>
    <w:rsid w:val="00CE619D"/>
    <w:rsid w:val="00CF6264"/>
    <w:rsid w:val="00CF651A"/>
    <w:rsid w:val="00CF7245"/>
    <w:rsid w:val="00CF7A78"/>
    <w:rsid w:val="00D12B78"/>
    <w:rsid w:val="00D13F3A"/>
    <w:rsid w:val="00D176E5"/>
    <w:rsid w:val="00D25B35"/>
    <w:rsid w:val="00D344E2"/>
    <w:rsid w:val="00D432F0"/>
    <w:rsid w:val="00D47191"/>
    <w:rsid w:val="00D50BF6"/>
    <w:rsid w:val="00D534FD"/>
    <w:rsid w:val="00D576D4"/>
    <w:rsid w:val="00D63295"/>
    <w:rsid w:val="00D70869"/>
    <w:rsid w:val="00D7593E"/>
    <w:rsid w:val="00D75948"/>
    <w:rsid w:val="00D82734"/>
    <w:rsid w:val="00D8763E"/>
    <w:rsid w:val="00D930B0"/>
    <w:rsid w:val="00D938D8"/>
    <w:rsid w:val="00DA4278"/>
    <w:rsid w:val="00DB48ED"/>
    <w:rsid w:val="00DB5DD5"/>
    <w:rsid w:val="00DC0C28"/>
    <w:rsid w:val="00DD27FA"/>
    <w:rsid w:val="00DD5A68"/>
    <w:rsid w:val="00DE6E7D"/>
    <w:rsid w:val="00DF34DA"/>
    <w:rsid w:val="00DF38AA"/>
    <w:rsid w:val="00DF7967"/>
    <w:rsid w:val="00E03547"/>
    <w:rsid w:val="00E059B4"/>
    <w:rsid w:val="00E079AD"/>
    <w:rsid w:val="00E1396C"/>
    <w:rsid w:val="00E13FBE"/>
    <w:rsid w:val="00E219F3"/>
    <w:rsid w:val="00E25E4B"/>
    <w:rsid w:val="00E30146"/>
    <w:rsid w:val="00E43D10"/>
    <w:rsid w:val="00E45222"/>
    <w:rsid w:val="00E45497"/>
    <w:rsid w:val="00E4560E"/>
    <w:rsid w:val="00E51E76"/>
    <w:rsid w:val="00E61EF0"/>
    <w:rsid w:val="00E636EE"/>
    <w:rsid w:val="00E707A2"/>
    <w:rsid w:val="00E70BD5"/>
    <w:rsid w:val="00E72E31"/>
    <w:rsid w:val="00E82559"/>
    <w:rsid w:val="00E8416F"/>
    <w:rsid w:val="00E84BF2"/>
    <w:rsid w:val="00EA165E"/>
    <w:rsid w:val="00EA4FD1"/>
    <w:rsid w:val="00EB0F5C"/>
    <w:rsid w:val="00EB2D27"/>
    <w:rsid w:val="00EC4EE0"/>
    <w:rsid w:val="00ED227E"/>
    <w:rsid w:val="00ED5A3F"/>
    <w:rsid w:val="00EE14C7"/>
    <w:rsid w:val="00EE4FA8"/>
    <w:rsid w:val="00EE7771"/>
    <w:rsid w:val="00EF476D"/>
    <w:rsid w:val="00EF4DEA"/>
    <w:rsid w:val="00F008D9"/>
    <w:rsid w:val="00F015AC"/>
    <w:rsid w:val="00F1124B"/>
    <w:rsid w:val="00F115CF"/>
    <w:rsid w:val="00F14BF8"/>
    <w:rsid w:val="00F20122"/>
    <w:rsid w:val="00F30E97"/>
    <w:rsid w:val="00F35880"/>
    <w:rsid w:val="00F36AA3"/>
    <w:rsid w:val="00F3775E"/>
    <w:rsid w:val="00F37D13"/>
    <w:rsid w:val="00F44DDC"/>
    <w:rsid w:val="00F500C1"/>
    <w:rsid w:val="00F56805"/>
    <w:rsid w:val="00F57E7D"/>
    <w:rsid w:val="00F62203"/>
    <w:rsid w:val="00F643F1"/>
    <w:rsid w:val="00F71319"/>
    <w:rsid w:val="00F7696D"/>
    <w:rsid w:val="00F85117"/>
    <w:rsid w:val="00F9717F"/>
    <w:rsid w:val="00FB3E39"/>
    <w:rsid w:val="00FC4BA6"/>
    <w:rsid w:val="00FC6DD6"/>
    <w:rsid w:val="00FD0E6D"/>
    <w:rsid w:val="00FD4174"/>
    <w:rsid w:val="00FD5F7A"/>
    <w:rsid w:val="00FF0DAB"/>
    <w:rsid w:val="01661C87"/>
    <w:rsid w:val="02BB0B9D"/>
    <w:rsid w:val="043B1BA7"/>
    <w:rsid w:val="05CE79D3"/>
    <w:rsid w:val="05FB1C19"/>
    <w:rsid w:val="08035D71"/>
    <w:rsid w:val="09550BB3"/>
    <w:rsid w:val="09D958DF"/>
    <w:rsid w:val="0A324EB3"/>
    <w:rsid w:val="0C82393C"/>
    <w:rsid w:val="0CDC36D0"/>
    <w:rsid w:val="0E507377"/>
    <w:rsid w:val="0E7A3FEE"/>
    <w:rsid w:val="10C70DE9"/>
    <w:rsid w:val="10E8610B"/>
    <w:rsid w:val="11EC0B07"/>
    <w:rsid w:val="13846AC2"/>
    <w:rsid w:val="139130CE"/>
    <w:rsid w:val="14343CBF"/>
    <w:rsid w:val="16C82441"/>
    <w:rsid w:val="18587A22"/>
    <w:rsid w:val="18EF69DE"/>
    <w:rsid w:val="19092BBA"/>
    <w:rsid w:val="197D75E2"/>
    <w:rsid w:val="1D2E7AC9"/>
    <w:rsid w:val="1EFD3610"/>
    <w:rsid w:val="205D01EB"/>
    <w:rsid w:val="20D53987"/>
    <w:rsid w:val="21F351A0"/>
    <w:rsid w:val="27026040"/>
    <w:rsid w:val="27D97970"/>
    <w:rsid w:val="28662F2E"/>
    <w:rsid w:val="29143ACE"/>
    <w:rsid w:val="29A23C17"/>
    <w:rsid w:val="2C9F442D"/>
    <w:rsid w:val="2E667978"/>
    <w:rsid w:val="2F674C42"/>
    <w:rsid w:val="302008F4"/>
    <w:rsid w:val="304D03DF"/>
    <w:rsid w:val="317676C4"/>
    <w:rsid w:val="31C9108B"/>
    <w:rsid w:val="32E43F28"/>
    <w:rsid w:val="335D7CD4"/>
    <w:rsid w:val="361C7EBA"/>
    <w:rsid w:val="385D0FD3"/>
    <w:rsid w:val="39546400"/>
    <w:rsid w:val="39811A08"/>
    <w:rsid w:val="39C319F2"/>
    <w:rsid w:val="3C025DDC"/>
    <w:rsid w:val="3DD20454"/>
    <w:rsid w:val="3DD35B18"/>
    <w:rsid w:val="3FF9163B"/>
    <w:rsid w:val="402B785B"/>
    <w:rsid w:val="42C01300"/>
    <w:rsid w:val="44C43886"/>
    <w:rsid w:val="45125FD6"/>
    <w:rsid w:val="4615512C"/>
    <w:rsid w:val="46CF5695"/>
    <w:rsid w:val="479143CE"/>
    <w:rsid w:val="48E56FDD"/>
    <w:rsid w:val="4A156134"/>
    <w:rsid w:val="4C4A2D94"/>
    <w:rsid w:val="4CF61613"/>
    <w:rsid w:val="4D8E6F81"/>
    <w:rsid w:val="4DFF747A"/>
    <w:rsid w:val="4F5446BF"/>
    <w:rsid w:val="521E613E"/>
    <w:rsid w:val="52743136"/>
    <w:rsid w:val="52AE68C3"/>
    <w:rsid w:val="56546524"/>
    <w:rsid w:val="5805552B"/>
    <w:rsid w:val="5A065845"/>
    <w:rsid w:val="5AA7149B"/>
    <w:rsid w:val="5DA56F44"/>
    <w:rsid w:val="5DA93BD8"/>
    <w:rsid w:val="5DBC0A1B"/>
    <w:rsid w:val="5E5D7A13"/>
    <w:rsid w:val="5FC06F61"/>
    <w:rsid w:val="615B0CEE"/>
    <w:rsid w:val="664831ED"/>
    <w:rsid w:val="670C1031"/>
    <w:rsid w:val="688C3A09"/>
    <w:rsid w:val="689A17F2"/>
    <w:rsid w:val="6AB757D5"/>
    <w:rsid w:val="6B41410F"/>
    <w:rsid w:val="6B7E4853"/>
    <w:rsid w:val="6B810E0F"/>
    <w:rsid w:val="6B8B2425"/>
    <w:rsid w:val="6C0E7517"/>
    <w:rsid w:val="6D096F17"/>
    <w:rsid w:val="70863C9C"/>
    <w:rsid w:val="70C03E5B"/>
    <w:rsid w:val="70FF4FEA"/>
    <w:rsid w:val="71DD0C07"/>
    <w:rsid w:val="71F25634"/>
    <w:rsid w:val="7580226E"/>
    <w:rsid w:val="760B3111"/>
    <w:rsid w:val="765F1CE3"/>
    <w:rsid w:val="77750A04"/>
    <w:rsid w:val="7831225D"/>
    <w:rsid w:val="7A5608C0"/>
    <w:rsid w:val="7B7B0352"/>
    <w:rsid w:val="7F333EF3"/>
    <w:rsid w:val="7F955770"/>
    <w:rsid w:val="7FA8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iPriority="99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28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b/>
      <w:sz w:val="24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4"/>
    </w:pPr>
    <w:rPr>
      <w:b/>
    </w:rPr>
  </w:style>
  <w:style w:type="character" w:default="1" w:styleId="14">
    <w:name w:val="Default Paragraph Font"/>
    <w:semiHidden/>
    <w:unhideWhenUsed/>
    <w:uiPriority w:val="1"/>
  </w:style>
  <w:style w:type="table" w:default="1" w:styleId="1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3"/>
    <w:basedOn w:val="1"/>
    <w:next w:val="1"/>
    <w:qFormat/>
    <w:uiPriority w:val="39"/>
    <w:pPr>
      <w:ind w:left="840" w:leftChars="400"/>
    </w:pPr>
  </w:style>
  <w:style w:type="paragraph" w:styleId="8">
    <w:name w:val="Balloon Text"/>
    <w:basedOn w:val="1"/>
    <w:link w:val="24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4"/>
    <w:basedOn w:val="1"/>
    <w:next w:val="1"/>
    <w:qFormat/>
    <w:uiPriority w:val="39"/>
    <w:pPr>
      <w:ind w:left="1260" w:leftChars="600"/>
    </w:pPr>
  </w:style>
  <w:style w:type="paragraph" w:styleId="12">
    <w:name w:val="toc 2"/>
    <w:basedOn w:val="1"/>
    <w:next w:val="1"/>
    <w:qFormat/>
    <w:uiPriority w:val="39"/>
    <w:pPr>
      <w:ind w:left="420" w:leftChars="200"/>
    </w:p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FollowedHyperlink"/>
    <w:basedOn w:val="14"/>
    <w:qFormat/>
    <w:uiPriority w:val="0"/>
    <w:rPr>
      <w:color w:val="800080"/>
      <w:u w:val="single"/>
    </w:rPr>
  </w:style>
  <w:style w:type="character" w:styleId="17">
    <w:name w:val="Hyperlink"/>
    <w:basedOn w:val="14"/>
    <w:qFormat/>
    <w:uiPriority w:val="99"/>
    <w:rPr>
      <w:color w:val="0000FF"/>
      <w:u w:val="single"/>
    </w:rPr>
  </w:style>
  <w:style w:type="character" w:styleId="18">
    <w:name w:val="HTML Code"/>
    <w:basedOn w:val="14"/>
    <w:unhideWhenUsed/>
    <w:qFormat/>
    <w:uiPriority w:val="99"/>
    <w:rPr>
      <w:rFonts w:ascii="宋体" w:hAnsi="宋体" w:eastAsia="宋体" w:cs="宋体"/>
      <w:sz w:val="24"/>
      <w:szCs w:val="24"/>
    </w:rPr>
  </w:style>
  <w:style w:type="paragraph" w:customStyle="1" w:styleId="20">
    <w:name w:val="标题  4"/>
    <w:basedOn w:val="5"/>
    <w:next w:val="1"/>
    <w:qFormat/>
    <w:uiPriority w:val="0"/>
  </w:style>
  <w:style w:type="paragraph" w:customStyle="1" w:styleId="21">
    <w:name w:val="标题  5"/>
    <w:basedOn w:val="6"/>
    <w:next w:val="6"/>
    <w:qFormat/>
    <w:uiPriority w:val="0"/>
  </w:style>
  <w:style w:type="paragraph" w:customStyle="1" w:styleId="22">
    <w:name w:val="_Style 1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styleId="23">
    <w:name w:val="List Paragraph"/>
    <w:basedOn w:val="1"/>
    <w:qFormat/>
    <w:uiPriority w:val="99"/>
    <w:pPr>
      <w:ind w:firstLine="420" w:firstLineChars="200"/>
    </w:pPr>
  </w:style>
  <w:style w:type="character" w:customStyle="1" w:styleId="24">
    <w:name w:val="批注框文本 字符"/>
    <w:basedOn w:val="14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7" Type="http://schemas.openxmlformats.org/officeDocument/2006/relationships/fontTable" Target="fontTable.xml"/><Relationship Id="rId26" Type="http://schemas.openxmlformats.org/officeDocument/2006/relationships/customXml" Target="../customXml/item2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B928EF-7362-4153-B31B-62CC812A54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411</Words>
  <Characters>2344</Characters>
  <Lines>19</Lines>
  <Paragraphs>5</Paragraphs>
  <TotalTime>1</TotalTime>
  <ScaleCrop>false</ScaleCrop>
  <LinksUpToDate>false</LinksUpToDate>
  <CharactersWithSpaces>2750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xl913</dc:creator>
  <cp:lastModifiedBy>YuXiaosheng</cp:lastModifiedBy>
  <dcterms:modified xsi:type="dcterms:W3CDTF">2018-08-06T06:27:12Z</dcterms:modified>
  <cp:revision>503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