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等线" w:hAnsi="等线" w:eastAsia="等线" w:cs="Times New Roman"/>
          <w:kern w:val="2"/>
          <w:sz w:val="32"/>
          <w:szCs w:val="32"/>
          <w:lang w:val="en-US" w:eastAsia="zh-CN" w:bidi="ar"/>
        </w:rPr>
        <w:t>TV端产品文档</w:t>
      </w:r>
    </w:p>
    <w:p>
      <w:pPr>
        <w:pStyle w:val="5"/>
        <w:widowControl/>
        <w:numPr>
          <w:ilvl w:val="0"/>
          <w:numId w:val="0"/>
        </w:numPr>
        <w:ind w:leftChars="0" w:right="0" w:rightChars="0"/>
      </w:pPr>
    </w:p>
    <w:p>
      <w:pP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</w:pPr>
      <w:bookmarkStart w:id="0" w:name="_Toc28679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1、TV端首页</w:t>
      </w:r>
      <w:bookmarkEnd w:id="0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TV端首页共有5个一级入口，分别为：幼教专区、校园安全、同步课堂、兴趣辅导、校园文化，遥控器切换点击进入二级页面。</w:t>
      </w:r>
    </w:p>
    <w:p>
      <w:r>
        <w:drawing>
          <wp:inline distT="0" distB="0" distL="0" distR="0">
            <wp:extent cx="5274310" cy="2969260"/>
            <wp:effectExtent l="0" t="0" r="1397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</w:pPr>
      <w:bookmarkStart w:id="1" w:name="_Toc28510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2、幼教专区</w:t>
      </w:r>
      <w:bookmarkEnd w:id="1"/>
    </w:p>
    <w:p>
      <w:pPr>
        <w:pStyle w:val="6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专区页面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幼教专区二级页面，可在左侧选取栏目，包括：听儿歌、听诗歌、看动漫，右侧为对应版块的视频专辑，在专辑区域向下浏览可查看更多视频专辑。</w:t>
      </w:r>
    </w:p>
    <w:p>
      <w:r>
        <w:drawing>
          <wp:inline distT="0" distB="0" distL="0" distR="0">
            <wp:extent cx="5242560" cy="295529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244502" cy="295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视频详情页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点击视频专辑后跳入“视频详情”页面，在该页可以查看该视频专辑的简介，并选取章节进行点播。</w:t>
      </w:r>
      <w:r>
        <w:rPr>
          <w:rFonts w:hint="eastAsia"/>
          <w:sz w:val="24"/>
          <w:szCs w:val="24"/>
          <w:lang w:val="en-US" w:eastAsia="zh-CN"/>
        </w:rPr>
        <w:t>注意此处ui中的时间字段不需要显示。关于课程购买会在2.7中说明。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962275"/>
            <wp:effectExtent l="0" t="0" r="6985" b="9525"/>
            <wp:docPr id="20" name="图片 20" descr="爱上学学堂详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爱上学学堂详情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视频播放页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从视频详情页选择某个章节进行播放，即可全屏播放该视频。</w:t>
      </w:r>
    </w:p>
    <w:p>
      <w:r>
        <w:drawing>
          <wp:inline distT="0" distB="0" distL="0" distR="0">
            <wp:extent cx="5274310" cy="2963545"/>
            <wp:effectExtent l="0" t="0" r="13970" b="8255"/>
            <wp:docPr id="14" name="图片 14" descr="https://timgsa.baidu.com/timg?image&amp;quality=80&amp;size=b9999_10000&amp;sec=1505731654422&amp;di=26be31dada45c88297bad68ccb9327b8&amp;imgtype=0&amp;src=http%3A%2F%2Fs15.sinaimg.cn%2Fmw690%2F0027tZvUzy790gPb3t46e%26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ttps://timgsa.baidu.com/timg?image&amp;quality=80&amp;size=b9999_10000&amp;sec=1505731654422&amp;di=26be31dada45c88297bad68ccb9327b8&amp;imgtype=0&amp;src=http%3A%2F%2Fs15.sinaimg.cn%2Fmw690%2F0027tZvUzy790gPb3t46e%2669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</w:pPr>
      <w:bookmarkStart w:id="2" w:name="_Toc23107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3、校园安全</w:t>
      </w:r>
      <w:bookmarkEnd w:id="2"/>
    </w:p>
    <w:p>
      <w:pPr>
        <w:pStyle w:val="6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专区页面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校园安全包括：出入校园安全、公共区域安全、校餐安全3个栏目，以图片缩略图并按时间倒序形式显示，列表信息包括图片、进/出学校、日期时间。</w:t>
      </w:r>
    </w:p>
    <w:p>
      <w:r>
        <w:drawing>
          <wp:inline distT="0" distB="0" distL="0" distR="0">
            <wp:extent cx="5274310" cy="2980055"/>
            <wp:effectExtent l="0" t="0" r="1397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图片放大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从校园安全列表中点击某个图片可全屏浏览该图片。</w:t>
      </w:r>
    </w:p>
    <w:p>
      <w:r>
        <w:drawing>
          <wp:inline distT="0" distB="0" distL="0" distR="0">
            <wp:extent cx="5274310" cy="2987040"/>
            <wp:effectExtent l="0" t="0" r="139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</w:pPr>
      <w:bookmarkStart w:id="3" w:name="_Toc27200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4、兴趣辅导</w:t>
      </w:r>
      <w:bookmarkEnd w:id="3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兴趣辅导专区包括：假期教学、周末教学、艺体教学版块，从课程列表页面进入课程详情页选择章节后播放，与幼教专区介绍的视频播放流程相同。</w:t>
      </w:r>
    </w:p>
    <w:p>
      <w:r>
        <w:drawing>
          <wp:inline distT="0" distB="0" distL="0" distR="0">
            <wp:extent cx="5274310" cy="2971800"/>
            <wp:effectExtent l="0" t="0" r="139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</w:pPr>
      <w:bookmarkStart w:id="4" w:name="_Toc26103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5、同步课堂</w:t>
      </w:r>
      <w:bookmarkEnd w:id="4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同步课堂专区包括：课前预习、4K高清教学、同步课堂、学业水平4个版块，从课程列表页面进入课程详情页选择章节后播放。</w:t>
      </w:r>
    </w:p>
    <w:p>
      <w:r>
        <w:drawing>
          <wp:inline distT="0" distB="0" distL="0" distR="0">
            <wp:extent cx="5274310" cy="2965450"/>
            <wp:effectExtent l="0" t="0" r="1397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</w:pPr>
      <w:bookmarkStart w:id="5" w:name="_Toc22203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6、校园文化</w:t>
      </w:r>
      <w:bookmarkEnd w:id="5"/>
    </w:p>
    <w:p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专区页面</w:t>
      </w:r>
    </w:p>
    <w:p>
      <w:pPr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专区主页显示4个入口分别为：校园主页、</w:t>
      </w:r>
      <w:r>
        <w:rPr>
          <w:rFonts w:hint="eastAsia"/>
          <w:sz w:val="21"/>
          <w:szCs w:val="21"/>
          <w:lang w:val="en-US" w:eastAsia="zh-CN"/>
        </w:rPr>
        <w:t>作业、通知、账号绑定</w:t>
      </w:r>
      <w:r>
        <w:rPr>
          <w:rFonts w:hint="eastAsia"/>
          <w:sz w:val="21"/>
          <w:szCs w:val="21"/>
        </w:rPr>
        <w:t>。</w:t>
      </w:r>
    </w:p>
    <w:p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6055" cy="2962275"/>
            <wp:effectExtent l="0" t="0" r="6985" b="9525"/>
            <wp:docPr id="24" name="图片 24" descr="校园文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校园文化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账号绑定</w:t>
      </w:r>
    </w:p>
    <w:p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6055" cy="2962275"/>
            <wp:effectExtent l="0" t="0" r="6985" b="9525"/>
            <wp:docPr id="25" name="图片 25" descr="绑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绑定二维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1"/>
          <w:szCs w:val="21"/>
        </w:rPr>
      </w:pPr>
    </w:p>
    <w:p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校园主页</w:t>
      </w:r>
    </w:p>
    <w:p>
      <w:pPr>
        <w:pStyle w:val="5"/>
        <w:widowControl/>
        <w:ind w:left="0" w:leftChars="0" w:firstLine="0" w:firstLineChars="0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UI单独提供该页内容。</w:t>
      </w:r>
      <w:r>
        <w:rPr>
          <w:sz w:val="21"/>
          <w:szCs w:val="21"/>
          <w:lang w:eastAsia="zh-CN"/>
        </w:rPr>
        <w:t>用户当前城市的所有学校列表及简介</w:t>
      </w:r>
      <w:r>
        <w:rPr>
          <w:rFonts w:hint="eastAsia"/>
          <w:sz w:val="21"/>
          <w:szCs w:val="21"/>
          <w:lang w:eastAsia="zh-CN"/>
        </w:rPr>
        <w:t>。</w:t>
      </w:r>
    </w:p>
    <w:p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校园新闻</w:t>
      </w:r>
    </w:p>
    <w:p>
      <w:pPr>
        <w:pStyle w:val="5"/>
        <w:widowControl/>
        <w:numPr>
          <w:ilvl w:val="0"/>
          <w:numId w:val="0"/>
        </w:numPr>
        <w:ind w:right="0" w:rightChars="0"/>
        <w:rPr>
          <w:sz w:val="21"/>
          <w:szCs w:val="21"/>
          <w:lang w:val="en-US"/>
        </w:rPr>
      </w:pPr>
      <w:r>
        <w:rPr>
          <w:sz w:val="21"/>
          <w:szCs w:val="21"/>
          <w:lang w:eastAsia="zh-CN"/>
        </w:rPr>
        <w:t>学校的新闻列表，</w:t>
      </w:r>
      <w:r>
        <w:rPr>
          <w:rFonts w:hint="eastAsia"/>
          <w:sz w:val="21"/>
          <w:szCs w:val="21"/>
          <w:lang w:val="en-US" w:eastAsia="zh-CN"/>
        </w:rPr>
        <w:t>点击可进入新闻详情页面。</w:t>
      </w:r>
      <w:r>
        <w:rPr>
          <w:rFonts w:hint="eastAsia"/>
          <w:sz w:val="21"/>
          <w:szCs w:val="21"/>
          <w:lang w:eastAsia="zh-CN"/>
        </w:rPr>
        <w:t>。</w:t>
      </w:r>
    </w:p>
    <w:p>
      <w:pPr>
        <w:pStyle w:val="6"/>
        <w:numPr>
          <w:ilvl w:val="0"/>
          <w:numId w:val="0"/>
        </w:numPr>
        <w:ind w:left="420" w:leftChars="0"/>
        <w:rPr>
          <w:sz w:val="21"/>
          <w:szCs w:val="21"/>
        </w:rPr>
      </w:pPr>
    </w:p>
    <w:p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6055" cy="2962275"/>
            <wp:effectExtent l="0" t="0" r="6985" b="9525"/>
            <wp:docPr id="28" name="图片 28" descr="校园主页-校园新闻 标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校园主页-校园新闻 标注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1"/>
          <w:szCs w:val="21"/>
          <w:lang w:eastAsia="zh-CN"/>
        </w:rPr>
      </w:pPr>
    </w:p>
    <w:p>
      <w:pPr>
        <w:pStyle w:val="6"/>
        <w:numPr>
          <w:ilvl w:val="0"/>
          <w:numId w:val="1"/>
        </w:numPr>
        <w:ind w:firstLineChars="0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校园新闻</w:t>
      </w:r>
      <w:r>
        <w:rPr>
          <w:rFonts w:hint="eastAsia"/>
          <w:sz w:val="21"/>
          <w:szCs w:val="21"/>
          <w:lang w:val="en-US" w:eastAsia="zh-CN"/>
        </w:rPr>
        <w:t>详情</w:t>
      </w:r>
    </w:p>
    <w:p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6055" cy="2962275"/>
            <wp:effectExtent l="0" t="0" r="6985" b="9525"/>
            <wp:docPr id="29" name="图片 29" descr="校园主页-校园新闻-详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校园主页-校园新闻-详情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1"/>
          <w:szCs w:val="21"/>
          <w:lang w:eastAsia="zh-CN"/>
        </w:rPr>
      </w:pPr>
    </w:p>
    <w:p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校园名师</w:t>
      </w:r>
    </w:p>
    <w:p>
      <w:pPr>
        <w:pStyle w:val="5"/>
        <w:widowControl/>
        <w:numPr>
          <w:ilvl w:val="0"/>
          <w:numId w:val="0"/>
        </w:numPr>
        <w:ind w:right="0" w:rightChars="0"/>
        <w:rPr>
          <w:sz w:val="21"/>
          <w:szCs w:val="21"/>
          <w:lang w:val="en-US"/>
        </w:rPr>
      </w:pPr>
      <w:r>
        <w:rPr>
          <w:sz w:val="21"/>
          <w:szCs w:val="21"/>
          <w:lang w:eastAsia="zh-CN"/>
        </w:rPr>
        <w:t>学校教师列表，</w:t>
      </w:r>
      <w:r>
        <w:rPr>
          <w:rFonts w:hint="eastAsia"/>
          <w:sz w:val="21"/>
          <w:szCs w:val="21"/>
          <w:lang w:val="en-US" w:eastAsia="zh-CN"/>
        </w:rPr>
        <w:t>无详情页面。</w:t>
      </w:r>
      <w:r>
        <w:rPr>
          <w:sz w:val="21"/>
          <w:szCs w:val="21"/>
          <w:lang w:eastAsia="zh-CN"/>
        </w:rPr>
        <w:t>接口可用校园主页的活跃教师数据（该数据包括教师头像和姓名信息），名师介绍数据取自教师的个人签名，排序与校主页活跃教师一致即可。</w:t>
      </w:r>
    </w:p>
    <w:p>
      <w:pPr>
        <w:pStyle w:val="5"/>
        <w:widowControl/>
        <w:ind w:left="0" w:leftChars="0" w:firstLine="0" w:firstLineChars="0"/>
        <w:rPr>
          <w:sz w:val="21"/>
          <w:szCs w:val="21"/>
          <w:lang w:val="en-US"/>
        </w:rPr>
      </w:pPr>
      <w:r>
        <w:rPr>
          <w:sz w:val="21"/>
          <w:szCs w:val="21"/>
          <w:lang w:eastAsia="zh-CN"/>
        </w:rPr>
        <w:t>校主页活跃教师</w:t>
      </w:r>
      <w:r>
        <w:rPr>
          <w:sz w:val="21"/>
          <w:szCs w:val="21"/>
          <w:lang w:val="en-US"/>
        </w:rPr>
        <w:t>url</w:t>
      </w:r>
      <w:r>
        <w:rPr>
          <w:sz w:val="21"/>
          <w:szCs w:val="21"/>
          <w:lang w:eastAsia="zh-CN"/>
        </w:rPr>
        <w:t>（示例）：</w:t>
      </w:r>
      <w:r>
        <w:rPr>
          <w:sz w:val="21"/>
          <w:szCs w:val="21"/>
          <w:lang w:val="en-US"/>
        </w:rPr>
        <w:t>http://njtlgjxx.i-school.net/active_teachers</w:t>
      </w:r>
    </w:p>
    <w:p>
      <w:pPr>
        <w:pStyle w:val="6"/>
        <w:numPr>
          <w:ilvl w:val="0"/>
          <w:numId w:val="0"/>
        </w:numPr>
        <w:rPr>
          <w:sz w:val="21"/>
          <w:szCs w:val="21"/>
        </w:rPr>
      </w:pPr>
    </w:p>
    <w:p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6055" cy="2962275"/>
            <wp:effectExtent l="0" t="0" r="6985" b="9525"/>
            <wp:docPr id="26" name="图片 26" descr="校园主页-校园名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校园主页-校园名师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1"/>
          <w:szCs w:val="21"/>
          <w:lang w:eastAsia="zh-CN"/>
        </w:rPr>
      </w:pPr>
    </w:p>
    <w:p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学生活动</w:t>
      </w:r>
    </w:p>
    <w:p>
      <w:pPr>
        <w:pStyle w:val="5"/>
        <w:widowControl/>
        <w:numPr>
          <w:ilvl w:val="0"/>
          <w:numId w:val="0"/>
        </w:numPr>
        <w:ind w:right="0" w:rightChars="0"/>
        <w:rPr>
          <w:sz w:val="21"/>
          <w:szCs w:val="21"/>
          <w:lang w:val="en-US"/>
        </w:rPr>
      </w:pPr>
      <w:r>
        <w:rPr>
          <w:sz w:val="21"/>
          <w:szCs w:val="21"/>
          <w:lang w:eastAsia="zh-CN"/>
        </w:rPr>
        <w:t>学生活动图片加文字内容，</w:t>
      </w:r>
      <w:r>
        <w:rPr>
          <w:rFonts w:hint="eastAsia"/>
          <w:sz w:val="21"/>
          <w:szCs w:val="21"/>
          <w:lang w:val="en-US" w:eastAsia="zh-CN"/>
        </w:rPr>
        <w:t>无详情页面。</w:t>
      </w:r>
      <w:r>
        <w:rPr>
          <w:sz w:val="21"/>
          <w:szCs w:val="21"/>
          <w:lang w:eastAsia="zh-CN"/>
        </w:rPr>
        <w:t>数据来源及排序与学校主页中的学校动态一致。</w:t>
      </w:r>
    </w:p>
    <w:p>
      <w:pPr>
        <w:pStyle w:val="5"/>
        <w:widowControl/>
        <w:ind w:left="0" w:leftChars="0" w:firstLine="0" w:firstLineChars="0"/>
        <w:rPr>
          <w:sz w:val="21"/>
          <w:szCs w:val="21"/>
          <w:lang w:val="en-US"/>
        </w:rPr>
      </w:pPr>
      <w:r>
        <w:rPr>
          <w:sz w:val="21"/>
          <w:szCs w:val="21"/>
          <w:lang w:eastAsia="zh-CN"/>
        </w:rPr>
        <w:t>校主页学校动态</w:t>
      </w:r>
      <w:r>
        <w:rPr>
          <w:sz w:val="21"/>
          <w:szCs w:val="21"/>
          <w:lang w:val="en-US"/>
        </w:rPr>
        <w:t>url</w:t>
      </w:r>
      <w:r>
        <w:rPr>
          <w:sz w:val="21"/>
          <w:szCs w:val="21"/>
          <w:lang w:eastAsia="zh-CN"/>
        </w:rPr>
        <w:t>（示例）：</w:t>
      </w:r>
      <w:r>
        <w:rPr>
          <w:sz w:val="21"/>
          <w:szCs w:val="21"/>
          <w:lang w:val="en-US"/>
        </w:rPr>
        <w:t>http://njtlgjxx.i-school.net/campus_activities</w:t>
      </w:r>
    </w:p>
    <w:p>
      <w:pPr>
        <w:pStyle w:val="6"/>
        <w:numPr>
          <w:ilvl w:val="0"/>
          <w:numId w:val="0"/>
        </w:numPr>
        <w:rPr>
          <w:sz w:val="24"/>
          <w:szCs w:val="24"/>
        </w:rPr>
      </w:pPr>
    </w:p>
    <w:p>
      <w:pPr>
        <w:pStyle w:val="6"/>
        <w:numPr>
          <w:ilvl w:val="0"/>
          <w:numId w:val="0"/>
        </w:num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6055" cy="2962275"/>
            <wp:effectExtent l="0" t="0" r="6985" b="9525"/>
            <wp:docPr id="27" name="图片 27" descr="校园主页-学生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校园主页-学生活动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rPr>
          <w:rFonts w:hint="eastAsia" w:eastAsiaTheme="minorEastAsia"/>
          <w:sz w:val="24"/>
          <w:szCs w:val="24"/>
          <w:lang w:eastAsia="zh-CN"/>
        </w:rPr>
      </w:pPr>
    </w:p>
    <w:p>
      <w:pP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</w:pPr>
      <w:bookmarkStart w:id="6" w:name="_Toc25571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7、</w:t>
      </w:r>
      <w:bookmarkStart w:id="7" w:name="_GoBack"/>
      <w:bookmarkEnd w:id="7"/>
      <w:r>
        <w:rPr>
          <w:rFonts w:hint="eastAsia" w:ascii="等线" w:hAnsi="等线" w:eastAsia="等线" w:cs="Times New Roman"/>
          <w:kern w:val="2"/>
          <w:sz w:val="28"/>
          <w:szCs w:val="28"/>
          <w:lang w:val="en-US" w:eastAsia="zh-CN" w:bidi="ar"/>
        </w:rPr>
        <w:t>TV端购买流程</w:t>
      </w:r>
      <w:bookmarkEnd w:id="6"/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课程详情页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课程页显示价格及立即订购按钮（如果是已购买则显示价格和“已购买”文本），章节中如果有试听章节则显示“试听”标识（是否是试听课由后台传）。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未购买的课程进入该页时默认焦点为“立即订购”按钮，点击试听章节可以直接播放，点击付费章节与点击“立即订购”按钮都打开扫码支付页。</w:t>
      </w:r>
    </w:p>
    <w:p>
      <w:r>
        <w:drawing>
          <wp:inline distT="0" distB="0" distL="114300" distR="114300">
            <wp:extent cx="5265420" cy="2663825"/>
            <wp:effectExtent l="0" t="0" r="762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2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扫码支付</w:t>
      </w:r>
    </w:p>
    <w:p>
      <w:pPr>
        <w:ind w:firstLine="420" w:firstLineChars="20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扫码支付显示该课程支付宝和微信的付款码，使用手机支付宝或微信客户端对应扫码支付，支付完毕后当前页面提示。提示包括：课程支付成功；课程支付失败，请重试；</w:t>
      </w:r>
    </w:p>
    <w:p/>
    <w:p>
      <w:p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8595" cy="2583815"/>
            <wp:effectExtent l="0" t="0" r="4445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2596515"/>
            <wp:effectExtent l="0" t="0" r="889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05867"/>
    <w:multiLevelType w:val="singleLevel"/>
    <w:tmpl w:val="5A1058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7B357058"/>
    <w:multiLevelType w:val="multilevel"/>
    <w:tmpl w:val="7B357058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B6F62"/>
    <w:rsid w:val="13E34E71"/>
    <w:rsid w:val="549C53AD"/>
    <w:rsid w:val="578B6F62"/>
    <w:rsid w:val="75E5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paragraph" w:customStyle="1" w:styleId="5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WPSOffice手动目录 1"/>
    <w:uiPriority w:val="0"/>
    <w:pPr>
      <w:ind w:leftChars="0"/>
    </w:pPr>
    <w:rPr>
      <w:rFonts w:ascii="等线" w:hAnsi="等线" w:eastAsia="等线" w:cs="Times New Roman"/>
      <w:sz w:val="20"/>
      <w:szCs w:val="20"/>
    </w:rPr>
  </w:style>
  <w:style w:type="paragraph" w:customStyle="1" w:styleId="8">
    <w:name w:val="WPSOffice手动目录 2"/>
    <w:uiPriority w:val="0"/>
    <w:pPr>
      <w:ind w:leftChars="200"/>
    </w:pPr>
    <w:rPr>
      <w:rFonts w:ascii="等线" w:hAnsi="等线" w:eastAsia="等线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2017-11-18T14:59:00Z</dcterms:created>
  <dc:creator>ldm</dc:creator>
  <cp:lastModifiedBy>ldm</cp:lastModifiedBy>
  <dcterms:modified xsi:type="dcterms:W3CDTF">2017-11-28T08:04:40Z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